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80"/>
      </w:pPr>
      <w:r>
        <w:rPr>
          <w:b/>
          <w:color w:val="496679"/>
          <w:sz w:val="17"/>
        </w:rPr>
        <w:t>DOSSIER 04 · AIDE FINANCIÈRE ET REDDITION</w:t>
      </w:r>
    </w:p>
    <w:p>
      <w:pPr>
        <w:pStyle w:val="Title"/>
      </w:pPr>
      <w:r>
        <w:t>Préparer le financement.</w:t>
        <w:br/>
        <w:t>Documenter les conditions.</w:t>
      </w:r>
    </w:p>
    <w:p>
      <w:r>
        <w:rPr>
          <w:b w:val="0"/>
        </w:rPr>
        <w:t>Atelier des Passerelles — espace de formation numérique. Reprise du scénario COSMOLOGIX du 20 octobre 2026; adaptation LECLERC du 2 novembre 2026.</w:t>
      </w:r>
    </w:p>
    <w:tbl>
      <w:tblPr>
        <w:tblW w:type="auto" w:w="0"/>
        <w:tblLook w:firstColumn="1" w:firstRow="1" w:lastColumn="0" w:lastRow="0" w:noHBand="0" w:noVBand="1" w:val="04A0"/>
      </w:tblPr>
      <w:tblGrid>
        <w:gridCol w:w="10166"/>
      </w:tblGrid>
      <w:tr>
        <w:trPr>
          <w:cantSplit/>
        </w:trPr>
        <w:tc>
          <w:tcPr>
            <w:tcW w:type="dxa" w:w="10166"/>
            <w:shd w:fill="EDF2F5"/>
            <w:tcMar>
              <w:top w:w="85" w:type="dxa"/>
              <w:left w:w="85" w:type="dxa"/>
              <w:bottom w:w="85" w:type="dxa"/>
              <w:right w:w="85" w:type="dxa"/>
            </w:tcMar>
          </w:tcPr>
          <w:p>
            <w:pPr>
              <w:spacing w:after="60"/>
            </w:pPr>
            <w:r>
              <w:rPr>
                <w:b/>
                <w:sz w:val="21"/>
              </w:rPr>
              <w:t>Démonstration entièrement fictive</w:t>
              <w:br/>
            </w:r>
            <w:r>
              <w:rPr>
                <w:sz w:val="20"/>
              </w:rPr>
              <w:t>L’organisme, le programme « Capacité locale — démonstration », les règles et les montants sont inventés. Aucun guichet réel, aucune subvention obtenue et aucun mandat client ne sont présentés.</w:t>
            </w:r>
          </w:p>
        </w:tc>
      </w:tr>
    </w:tbl>
    <w:p>
      <w:pPr>
        <w:spacing w:after="0"/>
      </w:pPr>
    </w:p>
    <w:tbl>
      <w:tblPr>
        <w:tblW w:type="auto" w:w="0"/>
        <w:jc w:val="center"/>
        <w:tblLayout w:type="fixed"/>
        <w:tblLook w:firstColumn="1" w:firstRow="1" w:lastColumn="0" w:lastRow="0" w:noHBand="0" w:noVBand="1" w:val="04A0"/>
      </w:tblPr>
      <w:tblGrid>
        <w:gridCol w:w="3384"/>
        <w:gridCol w:w="3384"/>
        <w:gridCol w:w="3384"/>
      </w:tblGrid>
      <w:tr>
        <w:trPr>
          <w:tblHeader/>
        </w:trPr>
        <w:tc>
          <w:tcPr>
            <w:tcW w:type="dxa" w:w="3384"/>
            <w:shd w:fill="172D3D"/>
            <w:tcMar>
              <w:top w:w="85" w:type="dxa"/>
              <w:left w:w="85" w:type="dxa"/>
              <w:bottom w:w="85" w:type="dxa"/>
              <w:right w:w="85" w:type="dxa"/>
            </w:tcMar>
          </w:tcPr>
          <w:p>
            <w:r>
              <w:rPr>
                <w:b/>
                <w:color w:val="FFFFFF"/>
                <w:sz w:val="18"/>
              </w:rPr>
              <w:t>Budget du projet</w:t>
            </w:r>
          </w:p>
        </w:tc>
        <w:tc>
          <w:tcPr>
            <w:tcW w:type="dxa" w:w="3384"/>
            <w:shd w:fill="172D3D"/>
            <w:tcMar>
              <w:top w:w="85" w:type="dxa"/>
              <w:left w:w="85" w:type="dxa"/>
              <w:bottom w:w="85" w:type="dxa"/>
              <w:right w:w="85" w:type="dxa"/>
            </w:tcMar>
          </w:tcPr>
          <w:p>
            <w:r>
              <w:rPr>
                <w:b/>
                <w:color w:val="FFFFFF"/>
                <w:sz w:val="18"/>
              </w:rPr>
              <w:t>Aide calculée, non accordée</w:t>
            </w:r>
          </w:p>
        </w:tc>
        <w:tc>
          <w:tcPr>
            <w:tcW w:type="dxa" w:w="3384"/>
            <w:shd w:fill="172D3D"/>
            <w:tcMar>
              <w:top w:w="85" w:type="dxa"/>
              <w:left w:w="85" w:type="dxa"/>
              <w:bottom w:w="85" w:type="dxa"/>
              <w:right w:w="85" w:type="dxa"/>
            </w:tcMar>
          </w:tcPr>
          <w:p>
            <w:r>
              <w:rPr>
                <w:b/>
                <w:color w:val="FFFFFF"/>
                <w:sz w:val="18"/>
              </w:rPr>
              <w:t>Apports envisagés</w:t>
            </w:r>
          </w:p>
        </w:tc>
      </w:tr>
      <w:tr>
        <w:trPr>
          <w:cantSplit/>
        </w:trPr>
        <w:tc>
          <w:tcPr>
            <w:tcW w:type="dxa" w:w="3384"/>
            <w:vAlign w:val="center"/>
            <w:tcMar>
              <w:top w:w="85" w:type="dxa"/>
              <w:left w:w="85" w:type="dxa"/>
              <w:bottom w:w="85" w:type="dxa"/>
              <w:right w:w="85" w:type="dxa"/>
            </w:tcMar>
            <w:shd w:fill="EDF2F5"/>
          </w:tcPr>
          <w:p>
            <w:pPr>
              <w:spacing w:after="40" w:before="20" w:line="252" w:lineRule="auto"/>
            </w:pPr>
            <w:r>
              <w:rPr>
                <w:sz w:val="18"/>
              </w:rPr>
              <w:t>126 000 $</w:t>
            </w:r>
          </w:p>
        </w:tc>
        <w:tc>
          <w:tcPr>
            <w:tcW w:type="dxa" w:w="3384"/>
            <w:vAlign w:val="center"/>
            <w:tcMar>
              <w:top w:w="85" w:type="dxa"/>
              <w:left w:w="85" w:type="dxa"/>
              <w:bottom w:w="85" w:type="dxa"/>
              <w:right w:w="85" w:type="dxa"/>
            </w:tcMar>
            <w:shd w:fill="EDF2F5"/>
          </w:tcPr>
          <w:p>
            <w:pPr>
              <w:spacing w:after="40" w:before="20" w:line="252" w:lineRule="auto"/>
            </w:pPr>
            <w:r>
              <w:rPr>
                <w:sz w:val="18"/>
              </w:rPr>
              <w:t>60 000 $</w:t>
            </w:r>
          </w:p>
        </w:tc>
        <w:tc>
          <w:tcPr>
            <w:tcW w:type="dxa" w:w="3384"/>
            <w:vAlign w:val="center"/>
            <w:tcMar>
              <w:top w:w="85" w:type="dxa"/>
              <w:left w:w="85" w:type="dxa"/>
              <w:bottom w:w="85" w:type="dxa"/>
              <w:right w:w="85" w:type="dxa"/>
            </w:tcMar>
            <w:shd w:fill="EDF2F5"/>
          </w:tcPr>
          <w:p>
            <w:pPr>
              <w:spacing w:after="40" w:before="20" w:line="252" w:lineRule="auto"/>
            </w:pPr>
            <w:r>
              <w:rPr>
                <w:sz w:val="18"/>
              </w:rPr>
              <w:t>66 000 $</w:t>
            </w:r>
          </w:p>
        </w:tc>
      </w:tr>
    </w:tbl>
    <w:p>
      <w:pPr>
        <w:spacing w:after="0"/>
      </w:pPr>
    </w:p>
    <w:p>
      <w:pPr>
        <w:pStyle w:val="Heading2"/>
      </w:pPr>
      <w:r>
        <w:t>Conclusion proposée à la direction</w:t>
      </w:r>
    </w:p>
    <w:p>
      <w:r>
        <w:rPr>
          <w:b w:val="0"/>
        </w:rPr>
        <w:t>Poursuivre la préparation documentaire, mais ne pas considérer le dossier comme prêt au dépôt. Les apports, le mécanisme d’avance et plusieurs pièces requises ne sont pas documentés. Aucun achat ni contrat ne doit être déclenché sur la seule base de cette analyse du scénario.</w:t>
      </w:r>
    </w:p>
    <w:p>
      <w:pPr>
        <w:pStyle w:val="Heading2"/>
      </w:pPr>
      <w:r>
        <w:t>Le travail illustré</w:t>
      </w:r>
    </w:p>
    <w:p>
      <w:r>
        <w:rPr>
          <w:b w:val="0"/>
        </w:rPr>
        <w:t>Réunir les règles et les pièces, distinguer coûts admissibles et coûts exclus, calculer l’aide théorique, rendre visible le besoin de trésorerie et organiser les validations avant dépôt. La direction conserve les approbations et les engagements.</w:t>
      </w:r>
    </w:p>
    <w:p>
      <w:pPr>
        <w:pStyle w:val="Heading2"/>
      </w:pPr>
      <w:r>
        <w:t>Point critique : financer avant d’être remboursé</w:t>
      </w:r>
    </w:p>
    <w:p>
      <w:r>
        <w:rPr>
          <w:b w:val="0"/>
        </w:rPr>
        <w:t>Dans l’hypothèse prudente où toutes les dépenses précèdent le remboursement, 126 000 $ doivent être disponibles avant taxes et frais financiers. Si les 66 000 $ d’apports sont réellement disponibles à temps, un relais supplémentaire de 60 000 $ reste à sécuriser. Aucune de ces disponibilités n’est attestée par les pièces B1 à B4.</w:t>
      </w:r>
    </w:p>
    <w:p>
      <w:r>
        <w:rPr>
          <w:b w:val="0"/>
        </w:rPr>
        <w:t>Lecture : faits du scénario arrêtés au 20 octobre 2026. La réédition du 2 novembre ne constitue pas une mise à jour d’un projet réel.</w:t>
      </w:r>
    </w:p>
    <w:p>
      <w:r>
        <w:br w:type="page"/>
      </w:r>
    </w:p>
    <w:p>
      <w:pPr>
        <w:spacing w:after="180"/>
      </w:pPr>
      <w:r>
        <w:rPr>
          <w:b/>
          <w:color w:val="496679"/>
          <w:sz w:val="17"/>
        </w:rPr>
        <w:t>02 · BUDGET ET SCÉNARIOS</w:t>
      </w:r>
    </w:p>
    <w:p>
      <w:pPr>
        <w:pStyle w:val="Title"/>
      </w:pPr>
      <w:r>
        <w:t>Du coût total à l’aide calculée.</w:t>
      </w:r>
    </w:p>
    <w:p>
      <w:r>
        <w:rPr>
          <w:b w:val="0"/>
        </w:rPr>
        <w:t>Montants en dollars canadiens avant taxes. B3 fournit les estimations; B1 contient les règles inventées de l’exercice.</w:t>
      </w:r>
    </w:p>
    <w:tbl>
      <w:tblPr>
        <w:tblW w:type="auto" w:w="0"/>
        <w:jc w:val="center"/>
        <w:tblLayout w:type="fixed"/>
        <w:tblLook w:firstColumn="1" w:firstRow="1" w:lastColumn="0" w:lastRow="0" w:noHBand="0" w:noVBand="1" w:val="04A0"/>
      </w:tblPr>
      <w:tblGrid>
        <w:gridCol w:w="4968"/>
        <w:gridCol w:w="2304"/>
        <w:gridCol w:w="2880"/>
      </w:tblGrid>
      <w:tr>
        <w:trPr>
          <w:tblHeader/>
        </w:trPr>
        <w:tc>
          <w:tcPr>
            <w:tcW w:type="dxa" w:w="4968"/>
            <w:shd w:fill="172D3D"/>
            <w:tcMar>
              <w:top w:w="85" w:type="dxa"/>
              <w:left w:w="85" w:type="dxa"/>
              <w:bottom w:w="85" w:type="dxa"/>
              <w:right w:w="85" w:type="dxa"/>
            </w:tcMar>
          </w:tcPr>
          <w:p>
            <w:r>
              <w:rPr>
                <w:b/>
                <w:color w:val="FFFFFF"/>
                <w:sz w:val="18"/>
              </w:rPr>
              <w:t>Dépense</w:t>
            </w:r>
          </w:p>
        </w:tc>
        <w:tc>
          <w:tcPr>
            <w:tcW w:type="dxa" w:w="2304"/>
            <w:shd w:fill="172D3D"/>
            <w:tcMar>
              <w:top w:w="85" w:type="dxa"/>
              <w:left w:w="85" w:type="dxa"/>
              <w:bottom w:w="85" w:type="dxa"/>
              <w:right w:w="85" w:type="dxa"/>
            </w:tcMar>
          </w:tcPr>
          <w:p>
            <w:r>
              <w:rPr>
                <w:b/>
                <w:color w:val="FFFFFF"/>
                <w:sz w:val="18"/>
              </w:rPr>
              <w:t>Budget</w:t>
            </w:r>
          </w:p>
        </w:tc>
        <w:tc>
          <w:tcPr>
            <w:tcW w:type="dxa" w:w="2880"/>
            <w:shd w:fill="172D3D"/>
            <w:tcMar>
              <w:top w:w="85" w:type="dxa"/>
              <w:left w:w="85" w:type="dxa"/>
              <w:bottom w:w="85" w:type="dxa"/>
              <w:right w:w="85" w:type="dxa"/>
            </w:tcMar>
          </w:tcPr>
          <w:p>
            <w:r>
              <w:rPr>
                <w:b/>
                <w:color w:val="FFFFFF"/>
                <w:sz w:val="18"/>
              </w:rPr>
              <w:t>Admissible selon B1</w:t>
            </w:r>
          </w:p>
        </w:tc>
      </w:tr>
      <w:tr>
        <w:trPr>
          <w:cantSplit/>
        </w:trPr>
        <w:tc>
          <w:tcPr>
            <w:tcW w:type="dxa" w:w="4968"/>
            <w:vAlign w:val="center"/>
            <w:tcMar>
              <w:top w:w="85" w:type="dxa"/>
              <w:left w:w="85" w:type="dxa"/>
              <w:bottom w:w="85" w:type="dxa"/>
              <w:right w:w="85" w:type="dxa"/>
            </w:tcMar>
            <w:shd w:fill="EDF2F5"/>
          </w:tcPr>
          <w:p>
            <w:pPr>
              <w:spacing w:after="40" w:before="20" w:line="252" w:lineRule="auto"/>
            </w:pPr>
            <w:r>
              <w:rPr>
                <w:sz w:val="18"/>
              </w:rPr>
              <w:t>Équipements</w:t>
            </w:r>
          </w:p>
        </w:tc>
        <w:tc>
          <w:tcPr>
            <w:tcW w:type="dxa" w:w="2304"/>
            <w:vAlign w:val="center"/>
            <w:tcMar>
              <w:top w:w="85" w:type="dxa"/>
              <w:left w:w="85" w:type="dxa"/>
              <w:bottom w:w="85" w:type="dxa"/>
              <w:right w:w="85" w:type="dxa"/>
            </w:tcMar>
            <w:shd w:fill="EDF2F5"/>
          </w:tcPr>
          <w:p>
            <w:pPr>
              <w:spacing w:after="40" w:before="20" w:line="252" w:lineRule="auto"/>
            </w:pPr>
            <w:r>
              <w:rPr>
                <w:sz w:val="18"/>
              </w:rPr>
              <w:t>64 000 $</w:t>
            </w:r>
          </w:p>
        </w:tc>
        <w:tc>
          <w:tcPr>
            <w:tcW w:type="dxa" w:w="2880"/>
            <w:vAlign w:val="center"/>
            <w:tcMar>
              <w:top w:w="85" w:type="dxa"/>
              <w:left w:w="85" w:type="dxa"/>
              <w:bottom w:w="85" w:type="dxa"/>
              <w:right w:w="85" w:type="dxa"/>
            </w:tcMar>
            <w:shd w:fill="EDF2F5"/>
          </w:tcPr>
          <w:p>
            <w:pPr>
              <w:spacing w:after="40" w:before="20" w:line="252" w:lineRule="auto"/>
            </w:pPr>
            <w:r>
              <w:rPr>
                <w:sz w:val="18"/>
              </w:rPr>
              <w:t>64 000 $</w:t>
            </w:r>
          </w:p>
        </w:tc>
      </w:tr>
      <w:tr>
        <w:trPr>
          <w:cantSplit/>
        </w:trPr>
        <w:tc>
          <w:tcPr>
            <w:tcW w:type="dxa" w:w="4968"/>
            <w:vAlign w:val="center"/>
            <w:tcMar>
              <w:top w:w="85" w:type="dxa"/>
              <w:left w:w="85" w:type="dxa"/>
              <w:bottom w:w="85" w:type="dxa"/>
              <w:right w:w="85" w:type="dxa"/>
            </w:tcMar>
          </w:tcPr>
          <w:p>
            <w:pPr>
              <w:spacing w:after="40" w:before="20" w:line="252" w:lineRule="auto"/>
            </w:pPr>
            <w:r>
              <w:rPr>
                <w:sz w:val="18"/>
              </w:rPr>
              <w:t>Intégration</w:t>
            </w:r>
          </w:p>
        </w:tc>
        <w:tc>
          <w:tcPr>
            <w:tcW w:type="dxa" w:w="2304"/>
            <w:vAlign w:val="center"/>
            <w:tcMar>
              <w:top w:w="85" w:type="dxa"/>
              <w:left w:w="85" w:type="dxa"/>
              <w:bottom w:w="85" w:type="dxa"/>
              <w:right w:w="85" w:type="dxa"/>
            </w:tcMar>
          </w:tcPr>
          <w:p>
            <w:pPr>
              <w:spacing w:after="40" w:before="20" w:line="252" w:lineRule="auto"/>
            </w:pPr>
            <w:r>
              <w:rPr>
                <w:sz w:val="18"/>
              </w:rPr>
              <w:t>20 000 $</w:t>
            </w:r>
          </w:p>
        </w:tc>
        <w:tc>
          <w:tcPr>
            <w:tcW w:type="dxa" w:w="2880"/>
            <w:vAlign w:val="center"/>
            <w:tcMar>
              <w:top w:w="85" w:type="dxa"/>
              <w:left w:w="85" w:type="dxa"/>
              <w:bottom w:w="85" w:type="dxa"/>
              <w:right w:w="85" w:type="dxa"/>
            </w:tcMar>
          </w:tcPr>
          <w:p>
            <w:pPr>
              <w:spacing w:after="40" w:before="20" w:line="252" w:lineRule="auto"/>
            </w:pPr>
            <w:r>
              <w:rPr>
                <w:sz w:val="18"/>
              </w:rPr>
              <w:t>20 000 $</w:t>
            </w:r>
          </w:p>
        </w:tc>
      </w:tr>
      <w:tr>
        <w:trPr>
          <w:cantSplit/>
        </w:trPr>
        <w:tc>
          <w:tcPr>
            <w:tcW w:type="dxa" w:w="4968"/>
            <w:vAlign w:val="center"/>
            <w:tcMar>
              <w:top w:w="85" w:type="dxa"/>
              <w:left w:w="85" w:type="dxa"/>
              <w:bottom w:w="85" w:type="dxa"/>
              <w:right w:w="85" w:type="dxa"/>
            </w:tcMar>
            <w:shd w:fill="EDF2F5"/>
          </w:tcPr>
          <w:p>
            <w:pPr>
              <w:spacing w:after="40" w:before="20" w:line="252" w:lineRule="auto"/>
            </w:pPr>
            <w:r>
              <w:rPr>
                <w:sz w:val="18"/>
              </w:rPr>
              <w:t>Formation</w:t>
            </w:r>
          </w:p>
        </w:tc>
        <w:tc>
          <w:tcPr>
            <w:tcW w:type="dxa" w:w="2304"/>
            <w:vAlign w:val="center"/>
            <w:tcMar>
              <w:top w:w="85" w:type="dxa"/>
              <w:left w:w="85" w:type="dxa"/>
              <w:bottom w:w="85" w:type="dxa"/>
              <w:right w:w="85" w:type="dxa"/>
            </w:tcMar>
            <w:shd w:fill="EDF2F5"/>
          </w:tcPr>
          <w:p>
            <w:pPr>
              <w:spacing w:after="40" w:before="20" w:line="252" w:lineRule="auto"/>
            </w:pPr>
            <w:r>
              <w:rPr>
                <w:sz w:val="18"/>
              </w:rPr>
              <w:t>12 000 $</w:t>
            </w:r>
          </w:p>
        </w:tc>
        <w:tc>
          <w:tcPr>
            <w:tcW w:type="dxa" w:w="2880"/>
            <w:vAlign w:val="center"/>
            <w:tcMar>
              <w:top w:w="85" w:type="dxa"/>
              <w:left w:w="85" w:type="dxa"/>
              <w:bottom w:w="85" w:type="dxa"/>
              <w:right w:w="85" w:type="dxa"/>
            </w:tcMar>
            <w:shd w:fill="EDF2F5"/>
          </w:tcPr>
          <w:p>
            <w:pPr>
              <w:spacing w:after="40" w:before="20" w:line="252" w:lineRule="auto"/>
            </w:pPr>
            <w:r>
              <w:rPr>
                <w:sz w:val="18"/>
              </w:rPr>
              <w:t>12 000 $</w:t>
            </w:r>
          </w:p>
        </w:tc>
      </w:tr>
      <w:tr>
        <w:trPr>
          <w:cantSplit/>
        </w:trPr>
        <w:tc>
          <w:tcPr>
            <w:tcW w:type="dxa" w:w="4968"/>
            <w:vAlign w:val="center"/>
            <w:tcMar>
              <w:top w:w="85" w:type="dxa"/>
              <w:left w:w="85" w:type="dxa"/>
              <w:bottom w:w="85" w:type="dxa"/>
              <w:right w:w="85" w:type="dxa"/>
            </w:tcMar>
          </w:tcPr>
          <w:p>
            <w:pPr>
              <w:spacing w:after="40" w:before="20" w:line="252" w:lineRule="auto"/>
            </w:pPr>
            <w:r>
              <w:rPr>
                <w:sz w:val="18"/>
              </w:rPr>
              <w:t>Évaluation</w:t>
            </w:r>
          </w:p>
        </w:tc>
        <w:tc>
          <w:tcPr>
            <w:tcW w:type="dxa" w:w="2304"/>
            <w:vAlign w:val="center"/>
            <w:tcMar>
              <w:top w:w="85" w:type="dxa"/>
              <w:left w:w="85" w:type="dxa"/>
              <w:bottom w:w="85" w:type="dxa"/>
              <w:right w:w="85" w:type="dxa"/>
            </w:tcMar>
          </w:tcPr>
          <w:p>
            <w:pPr>
              <w:spacing w:after="40" w:before="20" w:line="252" w:lineRule="auto"/>
            </w:pPr>
            <w:r>
              <w:rPr>
                <w:sz w:val="18"/>
              </w:rPr>
              <w:t>12 000 $</w:t>
            </w:r>
          </w:p>
        </w:tc>
        <w:tc>
          <w:tcPr>
            <w:tcW w:type="dxa" w:w="2880"/>
            <w:vAlign w:val="center"/>
            <w:tcMar>
              <w:top w:w="85" w:type="dxa"/>
              <w:left w:w="85" w:type="dxa"/>
              <w:bottom w:w="85" w:type="dxa"/>
              <w:right w:w="85" w:type="dxa"/>
            </w:tcMar>
          </w:tcPr>
          <w:p>
            <w:pPr>
              <w:spacing w:after="40" w:before="20" w:line="252" w:lineRule="auto"/>
            </w:pPr>
            <w:r>
              <w:rPr>
                <w:sz w:val="18"/>
              </w:rPr>
              <w:t>12 000 $</w:t>
            </w:r>
          </w:p>
        </w:tc>
      </w:tr>
      <w:tr>
        <w:trPr>
          <w:cantSplit/>
        </w:trPr>
        <w:tc>
          <w:tcPr>
            <w:tcW w:type="dxa" w:w="4968"/>
            <w:vAlign w:val="center"/>
            <w:tcMar>
              <w:top w:w="85" w:type="dxa"/>
              <w:left w:w="85" w:type="dxa"/>
              <w:bottom w:w="85" w:type="dxa"/>
              <w:right w:w="85" w:type="dxa"/>
            </w:tcMar>
            <w:shd w:fill="EDF2F5"/>
          </w:tcPr>
          <w:p>
            <w:pPr>
              <w:spacing w:after="40" w:before="20" w:line="252" w:lineRule="auto"/>
            </w:pPr>
            <w:r>
              <w:rPr>
                <w:sz w:val="18"/>
              </w:rPr>
              <w:t>Communication</w:t>
            </w:r>
          </w:p>
        </w:tc>
        <w:tc>
          <w:tcPr>
            <w:tcW w:type="dxa" w:w="2304"/>
            <w:vAlign w:val="center"/>
            <w:tcMar>
              <w:top w:w="85" w:type="dxa"/>
              <w:left w:w="85" w:type="dxa"/>
              <w:bottom w:w="85" w:type="dxa"/>
              <w:right w:w="85" w:type="dxa"/>
            </w:tcMar>
            <w:shd w:fill="EDF2F5"/>
          </w:tcPr>
          <w:p>
            <w:pPr>
              <w:spacing w:after="40" w:before="20" w:line="252" w:lineRule="auto"/>
            </w:pPr>
            <w:r>
              <w:rPr>
                <w:sz w:val="18"/>
              </w:rPr>
              <w:t>6 000 $</w:t>
            </w:r>
          </w:p>
        </w:tc>
        <w:tc>
          <w:tcPr>
            <w:tcW w:type="dxa" w:w="2880"/>
            <w:vAlign w:val="center"/>
            <w:tcMar>
              <w:top w:w="85" w:type="dxa"/>
              <w:left w:w="85" w:type="dxa"/>
              <w:bottom w:w="85" w:type="dxa"/>
              <w:right w:w="85" w:type="dxa"/>
            </w:tcMar>
            <w:shd w:fill="EDF2F5"/>
          </w:tcPr>
          <w:p>
            <w:pPr>
              <w:spacing w:after="40" w:before="20" w:line="252" w:lineRule="auto"/>
            </w:pPr>
            <w:r>
              <w:rPr>
                <w:sz w:val="18"/>
              </w:rPr>
              <w:t>0 $</w:t>
            </w:r>
          </w:p>
        </w:tc>
      </w:tr>
      <w:tr>
        <w:trPr>
          <w:cantSplit/>
        </w:trPr>
        <w:tc>
          <w:tcPr>
            <w:tcW w:type="dxa" w:w="4968"/>
            <w:vAlign w:val="center"/>
            <w:tcMar>
              <w:top w:w="85" w:type="dxa"/>
              <w:left w:w="85" w:type="dxa"/>
              <w:bottom w:w="85" w:type="dxa"/>
              <w:right w:w="85" w:type="dxa"/>
            </w:tcMar>
          </w:tcPr>
          <w:p>
            <w:pPr>
              <w:spacing w:after="40" w:before="20" w:line="252" w:lineRule="auto"/>
            </w:pPr>
            <w:r>
              <w:rPr>
                <w:sz w:val="18"/>
              </w:rPr>
              <w:t>Administration</w:t>
            </w:r>
          </w:p>
        </w:tc>
        <w:tc>
          <w:tcPr>
            <w:tcW w:type="dxa" w:w="2304"/>
            <w:vAlign w:val="center"/>
            <w:tcMar>
              <w:top w:w="85" w:type="dxa"/>
              <w:left w:w="85" w:type="dxa"/>
              <w:bottom w:w="85" w:type="dxa"/>
              <w:right w:w="85" w:type="dxa"/>
            </w:tcMar>
          </w:tcPr>
          <w:p>
            <w:pPr>
              <w:spacing w:after="40" w:before="20" w:line="252" w:lineRule="auto"/>
            </w:pPr>
            <w:r>
              <w:rPr>
                <w:sz w:val="18"/>
              </w:rPr>
              <w:t>8 000 $</w:t>
            </w:r>
          </w:p>
        </w:tc>
        <w:tc>
          <w:tcPr>
            <w:tcW w:type="dxa" w:w="2880"/>
            <w:vAlign w:val="center"/>
            <w:tcMar>
              <w:top w:w="85" w:type="dxa"/>
              <w:left w:w="85" w:type="dxa"/>
              <w:bottom w:w="85" w:type="dxa"/>
              <w:right w:w="85" w:type="dxa"/>
            </w:tcMar>
          </w:tcPr>
          <w:p>
            <w:pPr>
              <w:spacing w:after="40" w:before="20" w:line="252" w:lineRule="auto"/>
            </w:pPr>
            <w:r>
              <w:rPr>
                <w:sz w:val="18"/>
              </w:rPr>
              <w:t>0 $</w:t>
            </w:r>
          </w:p>
        </w:tc>
      </w:tr>
      <w:tr>
        <w:trPr>
          <w:cantSplit/>
        </w:trPr>
        <w:tc>
          <w:tcPr>
            <w:tcW w:type="dxa" w:w="4968"/>
            <w:vAlign w:val="center"/>
            <w:tcMar>
              <w:top w:w="85" w:type="dxa"/>
              <w:left w:w="85" w:type="dxa"/>
              <w:bottom w:w="85" w:type="dxa"/>
              <w:right w:w="85" w:type="dxa"/>
            </w:tcMar>
            <w:shd w:fill="EDF2F5"/>
          </w:tcPr>
          <w:p>
            <w:pPr>
              <w:spacing w:after="40" w:before="20" w:line="252" w:lineRule="auto"/>
            </w:pPr>
            <w:r>
              <w:rPr>
                <w:sz w:val="18"/>
              </w:rPr>
              <w:t>Provision pour imprévus</w:t>
            </w:r>
          </w:p>
        </w:tc>
        <w:tc>
          <w:tcPr>
            <w:tcW w:type="dxa" w:w="2304"/>
            <w:vAlign w:val="center"/>
            <w:tcMar>
              <w:top w:w="85" w:type="dxa"/>
              <w:left w:w="85" w:type="dxa"/>
              <w:bottom w:w="85" w:type="dxa"/>
              <w:right w:w="85" w:type="dxa"/>
            </w:tcMar>
            <w:shd w:fill="EDF2F5"/>
          </w:tcPr>
          <w:p>
            <w:pPr>
              <w:spacing w:after="40" w:before="20" w:line="252" w:lineRule="auto"/>
            </w:pPr>
            <w:r>
              <w:rPr>
                <w:sz w:val="18"/>
              </w:rPr>
              <w:t>4 000 $</w:t>
            </w:r>
          </w:p>
        </w:tc>
        <w:tc>
          <w:tcPr>
            <w:tcW w:type="dxa" w:w="2880"/>
            <w:vAlign w:val="center"/>
            <w:tcMar>
              <w:top w:w="85" w:type="dxa"/>
              <w:left w:w="85" w:type="dxa"/>
              <w:bottom w:w="85" w:type="dxa"/>
              <w:right w:w="85" w:type="dxa"/>
            </w:tcMar>
            <w:shd w:fill="EDF2F5"/>
          </w:tcPr>
          <w:p>
            <w:pPr>
              <w:spacing w:after="40" w:before="20" w:line="252" w:lineRule="auto"/>
            </w:pPr>
            <w:r>
              <w:rPr>
                <w:sz w:val="18"/>
              </w:rPr>
              <w:t>0 $</w:t>
            </w:r>
          </w:p>
        </w:tc>
      </w:tr>
      <w:tr>
        <w:trPr>
          <w:cantSplit/>
        </w:trPr>
        <w:tc>
          <w:tcPr>
            <w:tcW w:type="dxa" w:w="4968"/>
            <w:vAlign w:val="center"/>
            <w:tcMar>
              <w:top w:w="85" w:type="dxa"/>
              <w:left w:w="85" w:type="dxa"/>
              <w:bottom w:w="85" w:type="dxa"/>
              <w:right w:w="85" w:type="dxa"/>
            </w:tcMar>
          </w:tcPr>
          <w:p>
            <w:pPr>
              <w:spacing w:after="40" w:before="20" w:line="252" w:lineRule="auto"/>
            </w:pPr>
            <w:r>
              <w:rPr>
                <w:sz w:val="18"/>
              </w:rPr>
              <w:t>TOTAL</w:t>
            </w:r>
          </w:p>
        </w:tc>
        <w:tc>
          <w:tcPr>
            <w:tcW w:type="dxa" w:w="2304"/>
            <w:vAlign w:val="center"/>
            <w:tcMar>
              <w:top w:w="85" w:type="dxa"/>
              <w:left w:w="85" w:type="dxa"/>
              <w:bottom w:w="85" w:type="dxa"/>
              <w:right w:w="85" w:type="dxa"/>
            </w:tcMar>
          </w:tcPr>
          <w:p>
            <w:pPr>
              <w:spacing w:after="40" w:before="20" w:line="252" w:lineRule="auto"/>
            </w:pPr>
            <w:r>
              <w:rPr>
                <w:sz w:val="18"/>
              </w:rPr>
              <w:t>126 000 $</w:t>
            </w:r>
          </w:p>
        </w:tc>
        <w:tc>
          <w:tcPr>
            <w:tcW w:type="dxa" w:w="2880"/>
            <w:vAlign w:val="center"/>
            <w:tcMar>
              <w:top w:w="85" w:type="dxa"/>
              <w:left w:w="85" w:type="dxa"/>
              <w:bottom w:w="85" w:type="dxa"/>
              <w:right w:w="85" w:type="dxa"/>
            </w:tcMar>
          </w:tcPr>
          <w:p>
            <w:pPr>
              <w:spacing w:after="40" w:before="20" w:line="252" w:lineRule="auto"/>
            </w:pPr>
            <w:r>
              <w:rPr>
                <w:sz w:val="18"/>
              </w:rPr>
              <w:t>108 000 $</w:t>
            </w:r>
          </w:p>
        </w:tc>
      </w:tr>
    </w:tbl>
    <w:p>
      <w:pPr>
        <w:spacing w:after="0"/>
      </w:pPr>
    </w:p>
    <w:p>
      <w:pPr>
        <w:pStyle w:val="Heading2"/>
      </w:pPr>
      <w:r>
        <w:t>Calculs reproductibles</w:t>
      </w:r>
    </w:p>
    <w:p>
      <w:r>
        <w:rPr>
          <w:b w:val="0"/>
        </w:rPr>
        <w:t>Aide avant plafond : 108 000 $ × 60 % = 64 800 $. Aide théorique : minimum de 64 800 $ et du plafond de 60 000 $, soit 60 000 $. Part du coût total à couvrir autrement : 126 000 $ − 60 000 $ = 66 000 $.</w:t>
      </w:r>
    </w:p>
    <w:p>
      <w:r>
        <w:rPr>
          <w:b w:val="0"/>
        </w:rPr>
        <w:t>Cette part comprend 48 000 $ de coûts admissibles non couverts et 18 000 $ de coûts exclus. Les apports envisagés sont de 54 000 $ de fonds propres et 12 000 $ d’un partenaire privé; leur addition ne vaut pas preuve de disponibilité.</w:t>
      </w:r>
    </w:p>
    <w:tbl>
      <w:tblPr>
        <w:tblW w:type="auto" w:w="0"/>
        <w:jc w:val="center"/>
        <w:tblLayout w:type="fixed"/>
        <w:tblLook w:firstColumn="1" w:firstRow="1" w:lastColumn="0" w:lastRow="0" w:noHBand="0" w:noVBand="1" w:val="04A0"/>
      </w:tblPr>
      <w:tblGrid>
        <w:gridCol w:w="4680"/>
        <w:gridCol w:w="2736"/>
        <w:gridCol w:w="2736"/>
      </w:tblGrid>
      <w:tr>
        <w:trPr>
          <w:tblHeader/>
        </w:trPr>
        <w:tc>
          <w:tcPr>
            <w:tcW w:type="dxa" w:w="4680"/>
            <w:shd w:fill="172D3D"/>
            <w:tcMar>
              <w:top w:w="85" w:type="dxa"/>
              <w:left w:w="85" w:type="dxa"/>
              <w:bottom w:w="85" w:type="dxa"/>
              <w:right w:w="85" w:type="dxa"/>
            </w:tcMar>
          </w:tcPr>
          <w:p>
            <w:r>
              <w:rPr>
                <w:b/>
                <w:color w:val="FFFFFF"/>
                <w:sz w:val="18"/>
              </w:rPr>
              <w:t>Hypothèse pédagogique</w:t>
            </w:r>
          </w:p>
        </w:tc>
        <w:tc>
          <w:tcPr>
            <w:tcW w:type="dxa" w:w="2736"/>
            <w:shd w:fill="172D3D"/>
            <w:tcMar>
              <w:top w:w="85" w:type="dxa"/>
              <w:left w:w="85" w:type="dxa"/>
              <w:bottom w:w="85" w:type="dxa"/>
              <w:right w:w="85" w:type="dxa"/>
            </w:tcMar>
          </w:tcPr>
          <w:p>
            <w:r>
              <w:rPr>
                <w:b/>
                <w:color w:val="FFFFFF"/>
                <w:sz w:val="18"/>
              </w:rPr>
              <w:t>Apport total requis</w:t>
            </w:r>
          </w:p>
        </w:tc>
        <w:tc>
          <w:tcPr>
            <w:tcW w:type="dxa" w:w="2736"/>
            <w:shd w:fill="172D3D"/>
            <w:tcMar>
              <w:top w:w="85" w:type="dxa"/>
              <w:left w:w="85" w:type="dxa"/>
              <w:bottom w:w="85" w:type="dxa"/>
              <w:right w:w="85" w:type="dxa"/>
            </w:tcMar>
          </w:tcPr>
          <w:p>
            <w:r>
              <w:rPr>
                <w:b/>
                <w:color w:val="FFFFFF"/>
                <w:sz w:val="18"/>
              </w:rPr>
              <w:t>Écart au plan de 66 000 $</w:t>
            </w:r>
          </w:p>
        </w:tc>
      </w:tr>
      <w:tr>
        <w:trPr>
          <w:cantSplit/>
        </w:trPr>
        <w:tc>
          <w:tcPr>
            <w:tcW w:type="dxa" w:w="4680"/>
            <w:vAlign w:val="center"/>
            <w:tcMar>
              <w:top w:w="85" w:type="dxa"/>
              <w:left w:w="85" w:type="dxa"/>
              <w:bottom w:w="85" w:type="dxa"/>
              <w:right w:w="85" w:type="dxa"/>
            </w:tcMar>
            <w:shd w:fill="EDF2F5"/>
          </w:tcPr>
          <w:p>
            <w:pPr>
              <w:spacing w:after="40" w:before="20" w:line="252" w:lineRule="auto"/>
            </w:pPr>
            <w:r>
              <w:rPr>
                <w:sz w:val="18"/>
              </w:rPr>
              <w:t>Aide à 60 000 $</w:t>
            </w:r>
          </w:p>
        </w:tc>
        <w:tc>
          <w:tcPr>
            <w:tcW w:type="dxa" w:w="2736"/>
            <w:vAlign w:val="center"/>
            <w:tcMar>
              <w:top w:w="85" w:type="dxa"/>
              <w:left w:w="85" w:type="dxa"/>
              <w:bottom w:w="85" w:type="dxa"/>
              <w:right w:w="85" w:type="dxa"/>
            </w:tcMar>
            <w:shd w:fill="EDF2F5"/>
          </w:tcPr>
          <w:p>
            <w:pPr>
              <w:spacing w:after="40" w:before="20" w:line="252" w:lineRule="auto"/>
            </w:pPr>
            <w:r>
              <w:rPr>
                <w:sz w:val="18"/>
              </w:rPr>
              <w:t>66 000 $</w:t>
            </w:r>
          </w:p>
        </w:tc>
        <w:tc>
          <w:tcPr>
            <w:tcW w:type="dxa" w:w="2736"/>
            <w:vAlign w:val="center"/>
            <w:tcMar>
              <w:top w:w="85" w:type="dxa"/>
              <w:left w:w="85" w:type="dxa"/>
              <w:bottom w:w="85" w:type="dxa"/>
              <w:right w:w="85" w:type="dxa"/>
            </w:tcMar>
            <w:shd w:fill="EDF2F5"/>
          </w:tcPr>
          <w:p>
            <w:pPr>
              <w:spacing w:after="40" w:before="20" w:line="252" w:lineRule="auto"/>
            </w:pPr>
            <w:r>
              <w:rPr>
                <w:sz w:val="18"/>
              </w:rPr>
              <w:t>0 $</w:t>
            </w:r>
          </w:p>
        </w:tc>
      </w:tr>
      <w:tr>
        <w:trPr>
          <w:cantSplit/>
        </w:trPr>
        <w:tc>
          <w:tcPr>
            <w:tcW w:type="dxa" w:w="4680"/>
            <w:vAlign w:val="center"/>
            <w:tcMar>
              <w:top w:w="85" w:type="dxa"/>
              <w:left w:w="85" w:type="dxa"/>
              <w:bottom w:w="85" w:type="dxa"/>
              <w:right w:w="85" w:type="dxa"/>
            </w:tcMar>
          </w:tcPr>
          <w:p>
            <w:pPr>
              <w:spacing w:after="40" w:before="20" w:line="252" w:lineRule="auto"/>
            </w:pPr>
            <w:r>
              <w:rPr>
                <w:sz w:val="18"/>
              </w:rPr>
              <w:t>Aide réduite à 50 000 $</w:t>
            </w:r>
          </w:p>
        </w:tc>
        <w:tc>
          <w:tcPr>
            <w:tcW w:type="dxa" w:w="2736"/>
            <w:vAlign w:val="center"/>
            <w:tcMar>
              <w:top w:w="85" w:type="dxa"/>
              <w:left w:w="85" w:type="dxa"/>
              <w:bottom w:w="85" w:type="dxa"/>
              <w:right w:w="85" w:type="dxa"/>
            </w:tcMar>
          </w:tcPr>
          <w:p>
            <w:pPr>
              <w:spacing w:after="40" w:before="20" w:line="252" w:lineRule="auto"/>
            </w:pPr>
            <w:r>
              <w:rPr>
                <w:sz w:val="18"/>
              </w:rPr>
              <w:t>76 000 $</w:t>
            </w:r>
          </w:p>
        </w:tc>
        <w:tc>
          <w:tcPr>
            <w:tcW w:type="dxa" w:w="2736"/>
            <w:vAlign w:val="center"/>
            <w:tcMar>
              <w:top w:w="85" w:type="dxa"/>
              <w:left w:w="85" w:type="dxa"/>
              <w:bottom w:w="85" w:type="dxa"/>
              <w:right w:w="85" w:type="dxa"/>
            </w:tcMar>
          </w:tcPr>
          <w:p>
            <w:pPr>
              <w:spacing w:after="40" w:before="20" w:line="252" w:lineRule="auto"/>
            </w:pPr>
            <w:r>
              <w:rPr>
                <w:sz w:val="18"/>
              </w:rPr>
              <w:t>10 000 $</w:t>
            </w:r>
          </w:p>
        </w:tc>
      </w:tr>
      <w:tr>
        <w:trPr>
          <w:cantSplit/>
        </w:trPr>
        <w:tc>
          <w:tcPr>
            <w:tcW w:type="dxa" w:w="4680"/>
            <w:vAlign w:val="center"/>
            <w:tcMar>
              <w:top w:w="85" w:type="dxa"/>
              <w:left w:w="85" w:type="dxa"/>
              <w:bottom w:w="85" w:type="dxa"/>
              <w:right w:w="85" w:type="dxa"/>
            </w:tcMar>
            <w:shd w:fill="EDF2F5"/>
          </w:tcPr>
          <w:p>
            <w:pPr>
              <w:spacing w:after="40" w:before="20" w:line="252" w:lineRule="auto"/>
            </w:pPr>
            <w:r>
              <w:rPr>
                <w:sz w:val="18"/>
              </w:rPr>
              <w:t>Aucune aide obtenue</w:t>
            </w:r>
          </w:p>
        </w:tc>
        <w:tc>
          <w:tcPr>
            <w:tcW w:type="dxa" w:w="2736"/>
            <w:vAlign w:val="center"/>
            <w:tcMar>
              <w:top w:w="85" w:type="dxa"/>
              <w:left w:w="85" w:type="dxa"/>
              <w:bottom w:w="85" w:type="dxa"/>
              <w:right w:w="85" w:type="dxa"/>
            </w:tcMar>
            <w:shd w:fill="EDF2F5"/>
          </w:tcPr>
          <w:p>
            <w:pPr>
              <w:spacing w:after="40" w:before="20" w:line="252" w:lineRule="auto"/>
            </w:pPr>
            <w:r>
              <w:rPr>
                <w:sz w:val="18"/>
              </w:rPr>
              <w:t>126 000 $</w:t>
            </w:r>
          </w:p>
        </w:tc>
        <w:tc>
          <w:tcPr>
            <w:tcW w:type="dxa" w:w="2736"/>
            <w:vAlign w:val="center"/>
            <w:tcMar>
              <w:top w:w="85" w:type="dxa"/>
              <w:left w:w="85" w:type="dxa"/>
              <w:bottom w:w="85" w:type="dxa"/>
              <w:right w:w="85" w:type="dxa"/>
            </w:tcMar>
            <w:shd w:fill="EDF2F5"/>
          </w:tcPr>
          <w:p>
            <w:pPr>
              <w:spacing w:after="40" w:before="20" w:line="252" w:lineRule="auto"/>
            </w:pPr>
            <w:r>
              <w:rPr>
                <w:sz w:val="18"/>
              </w:rPr>
              <w:t>60 000 $</w:t>
            </w:r>
          </w:p>
        </w:tc>
      </w:tr>
    </w:tbl>
    <w:p>
      <w:pPr>
        <w:spacing w:after="0"/>
      </w:pPr>
    </w:p>
    <w:tbl>
      <w:tblPr>
        <w:tblW w:type="auto" w:w="0"/>
        <w:tblLook w:firstColumn="1" w:firstRow="1" w:lastColumn="0" w:lastRow="0" w:noHBand="0" w:noVBand="1" w:val="04A0"/>
      </w:tblPr>
      <w:tblGrid>
        <w:gridCol w:w="10166"/>
      </w:tblGrid>
      <w:tr>
        <w:trPr>
          <w:cantSplit/>
        </w:trPr>
        <w:tc>
          <w:tcPr>
            <w:tcW w:type="dxa" w:w="10166"/>
            <w:shd w:fill="EDF2F5"/>
            <w:tcMar>
              <w:top w:w="85" w:type="dxa"/>
              <w:left w:w="85" w:type="dxa"/>
              <w:bottom w:w="85" w:type="dxa"/>
              <w:right w:w="85" w:type="dxa"/>
            </w:tcMar>
          </w:tcPr>
          <w:p>
            <w:pPr>
              <w:spacing w:after="60"/>
            </w:pPr>
            <w:r>
              <w:rPr>
                <w:b/>
                <w:sz w:val="21"/>
              </w:rPr>
              <w:t>Équilibre budgétaire ≠ liquidités disponibles</w:t>
              <w:br/>
            </w:r>
            <w:r>
              <w:rPr>
                <w:sz w:val="20"/>
              </w:rPr>
              <w:t>L’égalité des sources envisagées et des dépenses ne règle pas le décalage des versements. Taxes, frais de financement, calendrier détaillé et surcoûts ne sont pas modélisés ici. Les estimations ne sont appuyées par aucun devis externe.</w:t>
            </w:r>
          </w:p>
        </w:tc>
      </w:tr>
    </w:tbl>
    <w:p>
      <w:pPr>
        <w:spacing w:after="0"/>
      </w:pPr>
    </w:p>
    <w:p>
      <w:r>
        <w:br w:type="page"/>
      </w:r>
    </w:p>
    <w:p>
      <w:pPr>
        <w:spacing w:after="180"/>
      </w:pPr>
      <w:r>
        <w:rPr>
          <w:b/>
          <w:color w:val="496679"/>
          <w:sz w:val="17"/>
        </w:rPr>
        <w:t>03 · EXIGENCES ET PIÈCES</w:t>
      </w:r>
    </w:p>
    <w:p>
      <w:pPr>
        <w:pStyle w:val="Title"/>
      </w:pPr>
      <w:r>
        <w:t>Rendre visibles les validations manquantes.</w:t>
      </w:r>
    </w:p>
    <w:p>
      <w:r>
        <w:rPr>
          <w:b w:val="0"/>
        </w:rPr>
        <w:t>Les critères ci-dessous appartiennent exclusivement au programme inventé B1. « À obtenir » ne signifie ni refus ni admissibilité.</w:t>
      </w:r>
    </w:p>
    <w:tbl>
      <w:tblPr>
        <w:tblW w:type="auto" w:w="0"/>
        <w:jc w:val="center"/>
        <w:tblLayout w:type="fixed"/>
        <w:tblLook w:firstColumn="1" w:firstRow="1" w:lastColumn="0" w:lastRow="0" w:noHBand="0" w:noVBand="1" w:val="04A0"/>
      </w:tblPr>
      <w:tblGrid>
        <w:gridCol w:w="2520"/>
        <w:gridCol w:w="3528"/>
        <w:gridCol w:w="4104"/>
      </w:tblGrid>
      <w:tr>
        <w:trPr>
          <w:tblHeader/>
        </w:trPr>
        <w:tc>
          <w:tcPr>
            <w:tcW w:type="dxa" w:w="2520"/>
            <w:shd w:fill="172D3D"/>
            <w:tcMar>
              <w:top w:w="85" w:type="dxa"/>
              <w:left w:w="85" w:type="dxa"/>
              <w:bottom w:w="85" w:type="dxa"/>
              <w:right w:w="85" w:type="dxa"/>
            </w:tcMar>
          </w:tcPr>
          <w:p>
            <w:r>
              <w:rPr>
                <w:b/>
                <w:color w:val="FFFFFF"/>
                <w:sz w:val="18"/>
              </w:rPr>
              <w:t>Exigence fictive</w:t>
            </w:r>
          </w:p>
        </w:tc>
        <w:tc>
          <w:tcPr>
            <w:tcW w:type="dxa" w:w="3528"/>
            <w:shd w:fill="172D3D"/>
            <w:tcMar>
              <w:top w:w="85" w:type="dxa"/>
              <w:left w:w="85" w:type="dxa"/>
              <w:bottom w:w="85" w:type="dxa"/>
              <w:right w:w="85" w:type="dxa"/>
            </w:tcMar>
          </w:tcPr>
          <w:p>
            <w:r>
              <w:rPr>
                <w:b/>
                <w:color w:val="FFFFFF"/>
                <w:sz w:val="18"/>
              </w:rPr>
              <w:t>État dans les pièces</w:t>
            </w:r>
          </w:p>
        </w:tc>
        <w:tc>
          <w:tcPr>
            <w:tcW w:type="dxa" w:w="4104"/>
            <w:shd w:fill="172D3D"/>
            <w:tcMar>
              <w:top w:w="85" w:type="dxa"/>
              <w:left w:w="85" w:type="dxa"/>
              <w:bottom w:w="85" w:type="dxa"/>
              <w:right w:w="85" w:type="dxa"/>
            </w:tcMar>
          </w:tcPr>
          <w:p>
            <w:r>
              <w:rPr>
                <w:b/>
                <w:color w:val="FFFFFF"/>
                <w:sz w:val="18"/>
              </w:rPr>
              <w:t>Validation à organiser</w:t>
            </w:r>
          </w:p>
        </w:tc>
      </w:tr>
      <w:tr>
        <w:trPr>
          <w:cantSplit/>
        </w:trPr>
        <w:tc>
          <w:tcPr>
            <w:tcW w:type="dxa" w:w="2520"/>
            <w:vAlign w:val="center"/>
            <w:tcMar>
              <w:top w:w="85" w:type="dxa"/>
              <w:left w:w="85" w:type="dxa"/>
              <w:bottom w:w="85" w:type="dxa"/>
              <w:right w:w="85" w:type="dxa"/>
            </w:tcMar>
            <w:shd w:fill="EDF2F5"/>
          </w:tcPr>
          <w:p>
            <w:pPr>
              <w:spacing w:after="40" w:before="20" w:line="252" w:lineRule="auto"/>
            </w:pPr>
            <w:r>
              <w:rPr>
                <w:sz w:val="18"/>
              </w:rPr>
              <w:t>Statut sans but lucratif</w:t>
            </w:r>
          </w:p>
        </w:tc>
        <w:tc>
          <w:tcPr>
            <w:tcW w:type="dxa" w:w="3528"/>
            <w:vAlign w:val="center"/>
            <w:tcMar>
              <w:top w:w="85" w:type="dxa"/>
              <w:left w:w="85" w:type="dxa"/>
              <w:bottom w:w="85" w:type="dxa"/>
              <w:right w:w="85" w:type="dxa"/>
            </w:tcMar>
            <w:shd w:fill="EDF2F5"/>
          </w:tcPr>
          <w:p>
            <w:pPr>
              <w:spacing w:after="40" w:before="20" w:line="252" w:lineRule="auto"/>
            </w:pPr>
            <w:r>
              <w:rPr>
                <w:sz w:val="18"/>
              </w:rPr>
              <w:t>Déclaré en B2; preuve absente</w:t>
            </w:r>
          </w:p>
        </w:tc>
        <w:tc>
          <w:tcPr>
            <w:tcW w:type="dxa" w:w="4104"/>
            <w:vAlign w:val="center"/>
            <w:tcMar>
              <w:top w:w="85" w:type="dxa"/>
              <w:left w:w="85" w:type="dxa"/>
              <w:bottom w:w="85" w:type="dxa"/>
              <w:right w:w="85" w:type="dxa"/>
            </w:tcMar>
            <w:shd w:fill="EDF2F5"/>
          </w:tcPr>
          <w:p>
            <w:pPr>
              <w:spacing w:after="40" w:before="20" w:line="252" w:lineRule="auto"/>
            </w:pPr>
            <w:r>
              <w:rPr>
                <w:sz w:val="18"/>
              </w:rPr>
              <w:t>Documents constitutifs</w:t>
            </w:r>
          </w:p>
        </w:tc>
      </w:tr>
      <w:tr>
        <w:trPr>
          <w:cantSplit/>
        </w:trPr>
        <w:tc>
          <w:tcPr>
            <w:tcW w:type="dxa" w:w="2520"/>
            <w:vAlign w:val="center"/>
            <w:tcMar>
              <w:top w:w="85" w:type="dxa"/>
              <w:left w:w="85" w:type="dxa"/>
              <w:bottom w:w="85" w:type="dxa"/>
              <w:right w:w="85" w:type="dxa"/>
            </w:tcMar>
          </w:tcPr>
          <w:p>
            <w:pPr>
              <w:spacing w:after="40" w:before="20" w:line="252" w:lineRule="auto"/>
            </w:pPr>
            <w:r>
              <w:rPr>
                <w:sz w:val="18"/>
              </w:rPr>
              <w:t>Besoin local et accessibilité</w:t>
            </w:r>
          </w:p>
        </w:tc>
        <w:tc>
          <w:tcPr>
            <w:tcW w:type="dxa" w:w="3528"/>
            <w:vAlign w:val="center"/>
            <w:tcMar>
              <w:top w:w="85" w:type="dxa"/>
              <w:left w:w="85" w:type="dxa"/>
              <w:bottom w:w="85" w:type="dxa"/>
              <w:right w:w="85" w:type="dxa"/>
            </w:tcMar>
          </w:tcPr>
          <w:p>
            <w:pPr>
              <w:spacing w:after="40" w:before="20" w:line="252" w:lineRule="auto"/>
            </w:pPr>
            <w:r>
              <w:rPr>
                <w:sz w:val="18"/>
              </w:rPr>
              <w:t>Projet décrit; besoin non étayé</w:t>
            </w:r>
          </w:p>
        </w:tc>
        <w:tc>
          <w:tcPr>
            <w:tcW w:type="dxa" w:w="4104"/>
            <w:vAlign w:val="center"/>
            <w:tcMar>
              <w:top w:w="85" w:type="dxa"/>
              <w:left w:w="85" w:type="dxa"/>
              <w:bottom w:w="85" w:type="dxa"/>
              <w:right w:w="85" w:type="dxa"/>
            </w:tcMar>
          </w:tcPr>
          <w:p>
            <w:pPr>
              <w:spacing w:after="40" w:before="20" w:line="252" w:lineRule="auto"/>
            </w:pPr>
            <w:r>
              <w:rPr>
                <w:sz w:val="18"/>
              </w:rPr>
              <w:t>Inventaire, consultation et accès</w:t>
            </w:r>
          </w:p>
        </w:tc>
      </w:tr>
      <w:tr>
        <w:trPr>
          <w:cantSplit/>
        </w:trPr>
        <w:tc>
          <w:tcPr>
            <w:tcW w:type="dxa" w:w="2520"/>
            <w:vAlign w:val="center"/>
            <w:tcMar>
              <w:top w:w="85" w:type="dxa"/>
              <w:left w:w="85" w:type="dxa"/>
              <w:bottom w:w="85" w:type="dxa"/>
              <w:right w:w="85" w:type="dxa"/>
            </w:tcMar>
            <w:shd w:fill="EDF2F5"/>
          </w:tcPr>
          <w:p>
            <w:pPr>
              <w:spacing w:after="40" w:before="20" w:line="252" w:lineRule="auto"/>
            </w:pPr>
            <w:r>
              <w:rPr>
                <w:sz w:val="18"/>
              </w:rPr>
              <w:t>Non-démarrage</w:t>
            </w:r>
          </w:p>
        </w:tc>
        <w:tc>
          <w:tcPr>
            <w:tcW w:type="dxa" w:w="3528"/>
            <w:vAlign w:val="center"/>
            <w:tcMar>
              <w:top w:w="85" w:type="dxa"/>
              <w:left w:w="85" w:type="dxa"/>
              <w:bottom w:w="85" w:type="dxa"/>
              <w:right w:w="85" w:type="dxa"/>
            </w:tcMar>
            <w:shd w:fill="EDF2F5"/>
          </w:tcPr>
          <w:p>
            <w:pPr>
              <w:spacing w:after="40" w:before="20" w:line="252" w:lineRule="auto"/>
            </w:pPr>
            <w:r>
              <w:rPr>
                <w:sz w:val="18"/>
              </w:rPr>
              <w:t>Aucun engagement déclaré</w:t>
            </w:r>
          </w:p>
        </w:tc>
        <w:tc>
          <w:tcPr>
            <w:tcW w:type="dxa" w:w="4104"/>
            <w:vAlign w:val="center"/>
            <w:tcMar>
              <w:top w:w="85" w:type="dxa"/>
              <w:left w:w="85" w:type="dxa"/>
              <w:bottom w:w="85" w:type="dxa"/>
              <w:right w:w="85" w:type="dxa"/>
            </w:tcMar>
            <w:shd w:fill="EDF2F5"/>
          </w:tcPr>
          <w:p>
            <w:pPr>
              <w:spacing w:after="40" w:before="20" w:line="252" w:lineRule="auto"/>
            </w:pPr>
            <w:r>
              <w:rPr>
                <w:sz w:val="18"/>
              </w:rPr>
              <w:t>Vérification et attestation</w:t>
            </w:r>
          </w:p>
        </w:tc>
      </w:tr>
      <w:tr>
        <w:trPr>
          <w:cantSplit/>
        </w:trPr>
        <w:tc>
          <w:tcPr>
            <w:tcW w:type="dxa" w:w="2520"/>
            <w:vAlign w:val="center"/>
            <w:tcMar>
              <w:top w:w="85" w:type="dxa"/>
              <w:left w:w="85" w:type="dxa"/>
              <w:bottom w:w="85" w:type="dxa"/>
              <w:right w:w="85" w:type="dxa"/>
            </w:tcMar>
          </w:tcPr>
          <w:p>
            <w:pPr>
              <w:spacing w:after="40" w:before="20" w:line="252" w:lineRule="auto"/>
            </w:pPr>
            <w:r>
              <w:rPr>
                <w:sz w:val="18"/>
              </w:rPr>
              <w:t>Apports monétaires</w:t>
            </w:r>
          </w:p>
        </w:tc>
        <w:tc>
          <w:tcPr>
            <w:tcW w:type="dxa" w:w="3528"/>
            <w:vAlign w:val="center"/>
            <w:tcMar>
              <w:top w:w="85" w:type="dxa"/>
              <w:left w:w="85" w:type="dxa"/>
              <w:bottom w:w="85" w:type="dxa"/>
              <w:right w:w="85" w:type="dxa"/>
            </w:tcMar>
          </w:tcPr>
          <w:p>
            <w:pPr>
              <w:spacing w:after="40" w:before="20" w:line="252" w:lineRule="auto"/>
            </w:pPr>
            <w:r>
              <w:rPr>
                <w:sz w:val="18"/>
              </w:rPr>
              <w:t>54 000 $ + 12 000 $ envisagés</w:t>
            </w:r>
          </w:p>
        </w:tc>
        <w:tc>
          <w:tcPr>
            <w:tcW w:type="dxa" w:w="4104"/>
            <w:vAlign w:val="center"/>
            <w:tcMar>
              <w:top w:w="85" w:type="dxa"/>
              <w:left w:w="85" w:type="dxa"/>
              <w:bottom w:w="85" w:type="dxa"/>
              <w:right w:w="85" w:type="dxa"/>
            </w:tcMar>
          </w:tcPr>
          <w:p>
            <w:pPr>
              <w:spacing w:after="40" w:before="20" w:line="252" w:lineRule="auto"/>
            </w:pPr>
            <w:r>
              <w:rPr>
                <w:sz w:val="18"/>
              </w:rPr>
              <w:t>Preuve de fonds et lettre du partenaire</w:t>
            </w:r>
          </w:p>
        </w:tc>
      </w:tr>
      <w:tr>
        <w:trPr>
          <w:cantSplit/>
        </w:trPr>
        <w:tc>
          <w:tcPr>
            <w:tcW w:type="dxa" w:w="2520"/>
            <w:vAlign w:val="center"/>
            <w:tcMar>
              <w:top w:w="85" w:type="dxa"/>
              <w:left w:w="85" w:type="dxa"/>
              <w:bottom w:w="85" w:type="dxa"/>
              <w:right w:w="85" w:type="dxa"/>
            </w:tcMar>
            <w:shd w:fill="EDF2F5"/>
          </w:tcPr>
          <w:p>
            <w:pPr>
              <w:spacing w:after="40" w:before="20" w:line="252" w:lineRule="auto"/>
            </w:pPr>
            <w:r>
              <w:rPr>
                <w:sz w:val="18"/>
              </w:rPr>
              <w:t>Absence de double financement</w:t>
            </w:r>
          </w:p>
        </w:tc>
        <w:tc>
          <w:tcPr>
            <w:tcW w:type="dxa" w:w="3528"/>
            <w:vAlign w:val="center"/>
            <w:tcMar>
              <w:top w:w="85" w:type="dxa"/>
              <w:left w:w="85" w:type="dxa"/>
              <w:bottom w:w="85" w:type="dxa"/>
              <w:right w:w="85" w:type="dxa"/>
            </w:tcMar>
            <w:shd w:fill="EDF2F5"/>
          </w:tcPr>
          <w:p>
            <w:pPr>
              <w:spacing w:after="40" w:before="20" w:line="252" w:lineRule="auto"/>
            </w:pPr>
            <w:r>
              <w:rPr>
                <w:sz w:val="18"/>
              </w:rPr>
              <w:t>Aucun autre fonds public déclaré</w:t>
            </w:r>
          </w:p>
        </w:tc>
        <w:tc>
          <w:tcPr>
            <w:tcW w:type="dxa" w:w="4104"/>
            <w:vAlign w:val="center"/>
            <w:tcMar>
              <w:top w:w="85" w:type="dxa"/>
              <w:left w:w="85" w:type="dxa"/>
              <w:bottom w:w="85" w:type="dxa"/>
              <w:right w:w="85" w:type="dxa"/>
            </w:tcMar>
            <w:shd w:fill="EDF2F5"/>
          </w:tcPr>
          <w:p>
            <w:pPr>
              <w:spacing w:after="40" w:before="20" w:line="252" w:lineRule="auto"/>
            </w:pPr>
            <w:r>
              <w:rPr>
                <w:sz w:val="18"/>
              </w:rPr>
              <w:t>Vérification et attestation</w:t>
            </w:r>
          </w:p>
        </w:tc>
      </w:tr>
      <w:tr>
        <w:trPr>
          <w:cantSplit/>
        </w:trPr>
        <w:tc>
          <w:tcPr>
            <w:tcW w:type="dxa" w:w="2520"/>
            <w:vAlign w:val="center"/>
            <w:tcMar>
              <w:top w:w="85" w:type="dxa"/>
              <w:left w:w="85" w:type="dxa"/>
              <w:bottom w:w="85" w:type="dxa"/>
              <w:right w:w="85" w:type="dxa"/>
            </w:tcMar>
          </w:tcPr>
          <w:p>
            <w:pPr>
              <w:spacing w:after="40" w:before="20" w:line="252" w:lineRule="auto"/>
            </w:pPr>
            <w:r>
              <w:rPr>
                <w:sz w:val="18"/>
              </w:rPr>
              <w:t>Capacité d’avance</w:t>
            </w:r>
          </w:p>
        </w:tc>
        <w:tc>
          <w:tcPr>
            <w:tcW w:type="dxa" w:w="3528"/>
            <w:vAlign w:val="center"/>
            <w:tcMar>
              <w:top w:w="85" w:type="dxa"/>
              <w:left w:w="85" w:type="dxa"/>
              <w:bottom w:w="85" w:type="dxa"/>
              <w:right w:w="85" w:type="dxa"/>
            </w:tcMar>
          </w:tcPr>
          <w:p>
            <w:pPr>
              <w:spacing w:after="40" w:before="20" w:line="252" w:lineRule="auto"/>
            </w:pPr>
            <w:r>
              <w:rPr>
                <w:sz w:val="18"/>
              </w:rPr>
              <w:t>Non documentée</w:t>
            </w:r>
          </w:p>
        </w:tc>
        <w:tc>
          <w:tcPr>
            <w:tcW w:type="dxa" w:w="4104"/>
            <w:vAlign w:val="center"/>
            <w:tcMar>
              <w:top w:w="85" w:type="dxa"/>
              <w:left w:w="85" w:type="dxa"/>
              <w:bottom w:w="85" w:type="dxa"/>
              <w:right w:w="85" w:type="dxa"/>
            </w:tcMar>
          </w:tcPr>
          <w:p>
            <w:pPr>
              <w:spacing w:after="40" w:before="20" w:line="252" w:lineRule="auto"/>
            </w:pPr>
            <w:r>
              <w:rPr>
                <w:sz w:val="18"/>
              </w:rPr>
              <w:t>Disponibilité des apports et relais</w:t>
            </w:r>
          </w:p>
        </w:tc>
      </w:tr>
      <w:tr>
        <w:trPr>
          <w:cantSplit/>
        </w:trPr>
        <w:tc>
          <w:tcPr>
            <w:tcW w:type="dxa" w:w="2520"/>
            <w:vAlign w:val="center"/>
            <w:tcMar>
              <w:top w:w="85" w:type="dxa"/>
              <w:left w:w="85" w:type="dxa"/>
              <w:bottom w:w="85" w:type="dxa"/>
              <w:right w:w="85" w:type="dxa"/>
            </w:tcMar>
            <w:shd w:fill="EDF2F5"/>
          </w:tcPr>
          <w:p>
            <w:pPr>
              <w:spacing w:after="40" w:before="20" w:line="252" w:lineRule="auto"/>
            </w:pPr>
            <w:r>
              <w:rPr>
                <w:sz w:val="18"/>
              </w:rPr>
              <w:t>Dépôt complet au 30.11.2026</w:t>
            </w:r>
          </w:p>
        </w:tc>
        <w:tc>
          <w:tcPr>
            <w:tcW w:type="dxa" w:w="3528"/>
            <w:vAlign w:val="center"/>
            <w:tcMar>
              <w:top w:w="85" w:type="dxa"/>
              <w:left w:w="85" w:type="dxa"/>
              <w:bottom w:w="85" w:type="dxa"/>
              <w:right w:w="85" w:type="dxa"/>
            </w:tcMar>
            <w:shd w:fill="EDF2F5"/>
          </w:tcPr>
          <w:p>
            <w:pPr>
              <w:spacing w:after="40" w:before="20" w:line="252" w:lineRule="auto"/>
            </w:pPr>
            <w:r>
              <w:rPr>
                <w:sz w:val="18"/>
              </w:rPr>
              <w:t>Échéance fictive; dossier incomplet</w:t>
            </w:r>
          </w:p>
        </w:tc>
        <w:tc>
          <w:tcPr>
            <w:tcW w:type="dxa" w:w="4104"/>
            <w:vAlign w:val="center"/>
            <w:tcMar>
              <w:top w:w="85" w:type="dxa"/>
              <w:left w:w="85" w:type="dxa"/>
              <w:bottom w:w="85" w:type="dxa"/>
              <w:right w:w="85" w:type="dxa"/>
            </w:tcMar>
            <w:shd w:fill="EDF2F5"/>
          </w:tcPr>
          <w:p>
            <w:pPr>
              <w:spacing w:after="40" w:before="20" w:line="252" w:lineRule="auto"/>
            </w:pPr>
            <w:r>
              <w:rPr>
                <w:sz w:val="18"/>
              </w:rPr>
              <w:t>Résolution, devis et pièces requises</w:t>
            </w:r>
          </w:p>
        </w:tc>
      </w:tr>
    </w:tbl>
    <w:p>
      <w:pPr>
        <w:spacing w:after="0"/>
      </w:pPr>
    </w:p>
    <w:p>
      <w:pPr>
        <w:pStyle w:val="Heading2"/>
      </w:pPr>
      <w:r>
        <w:t>Cibles proposées, non résultats constatés</w:t>
      </w:r>
    </w:p>
    <w:p>
      <w:r>
        <w:rPr>
          <w:b w:val="0"/>
        </w:rPr>
        <w:t>Quatre cohortes de douze personnes, soit 48 participants uniques; 36 complétions visées, soit 75 %; huit intervenants formés pendant huit heures chacun. Ces cibles proviennent de B2 et ne décrivent aucune réalisation acquise.</w:t>
      </w:r>
    </w:p>
    <w:p>
      <w:r>
        <w:rPr>
          <w:b w:val="0"/>
        </w:rPr>
        <w:t>Avant le lancement, définir ce qui constitue une complétion, nommer les responsables, préciser les preuves à conserver et approuver la méthode de suivi. Une personne inscrite ne doit pas être comptée deux fois comme participant unique.</w:t>
      </w:r>
    </w:p>
    <w:tbl>
      <w:tblPr>
        <w:tblW w:type="auto" w:w="0"/>
        <w:tblLook w:firstColumn="1" w:firstRow="1" w:lastColumn="0" w:lastRow="0" w:noHBand="0" w:noVBand="1" w:val="04A0"/>
      </w:tblPr>
      <w:tblGrid>
        <w:gridCol w:w="10166"/>
      </w:tblGrid>
      <w:tr>
        <w:trPr>
          <w:cantSplit/>
        </w:trPr>
        <w:tc>
          <w:tcPr>
            <w:tcW w:type="dxa" w:w="10166"/>
            <w:shd w:fill="EDF2F5"/>
            <w:tcMar>
              <w:top w:w="85" w:type="dxa"/>
              <w:left w:w="85" w:type="dxa"/>
              <w:bottom w:w="85" w:type="dxa"/>
              <w:right w:w="85" w:type="dxa"/>
            </w:tcMar>
          </w:tcPr>
          <w:p>
            <w:pPr>
              <w:spacing w:after="60"/>
            </w:pPr>
            <w:r>
              <w:rPr>
                <w:b/>
                <w:sz w:val="21"/>
              </w:rPr>
              <w:t>Passage à l’étape suivante</w:t>
              <w:br/>
            </w:r>
            <w:r>
              <w:rPr>
                <w:sz w:val="20"/>
              </w:rPr>
              <w:t>La direction doit pouvoir identifier chaque pièce, sa version et son validateur. Le classeur associé contient un registre de pièces et un état de préparation; un compteur complet ne constitue pas une certification d’admissibilité.</w:t>
            </w:r>
          </w:p>
        </w:tc>
      </w:tr>
    </w:tbl>
    <w:p>
      <w:pPr>
        <w:spacing w:after="0"/>
      </w:pPr>
    </w:p>
    <w:p>
      <w:r>
        <w:br w:type="page"/>
      </w:r>
    </w:p>
    <w:p>
      <w:pPr>
        <w:spacing w:after="180"/>
      </w:pPr>
      <w:r>
        <w:rPr>
          <w:b/>
          <w:color w:val="496679"/>
          <w:sz w:val="17"/>
        </w:rPr>
        <w:t>04 · RÉALISATION ET REDDITION</w:t>
      </w:r>
    </w:p>
    <w:p>
      <w:pPr>
        <w:pStyle w:val="Title"/>
      </w:pPr>
      <w:r>
        <w:t>Organiser le projet sans anticiper l’accord.</w:t>
      </w:r>
    </w:p>
    <w:p>
      <w:r>
        <w:rPr>
          <w:b w:val="0"/>
        </w:rPr>
        <w:t>La séquence demeure relative à un accord écrit et à la confirmation du financement. Les rôles proposés doivent être attribués.</w:t>
      </w:r>
    </w:p>
    <w:tbl>
      <w:tblPr>
        <w:tblW w:type="auto" w:w="0"/>
        <w:jc w:val="center"/>
        <w:tblLayout w:type="fixed"/>
        <w:tblLook w:firstColumn="1" w:firstRow="1" w:lastColumn="0" w:lastRow="0" w:noHBand="0" w:noVBand="1" w:val="04A0"/>
      </w:tblPr>
      <w:tblGrid>
        <w:gridCol w:w="1944"/>
        <w:gridCol w:w="4464"/>
        <w:gridCol w:w="3744"/>
      </w:tblGrid>
      <w:tr>
        <w:trPr>
          <w:tblHeader/>
        </w:trPr>
        <w:tc>
          <w:tcPr>
            <w:tcW w:type="dxa" w:w="1944"/>
            <w:shd w:fill="172D3D"/>
            <w:tcMar>
              <w:top w:w="85" w:type="dxa"/>
              <w:left w:w="85" w:type="dxa"/>
              <w:bottom w:w="85" w:type="dxa"/>
              <w:right w:w="85" w:type="dxa"/>
            </w:tcMar>
          </w:tcPr>
          <w:p>
            <w:r>
              <w:rPr>
                <w:b/>
                <w:color w:val="FFFFFF"/>
                <w:sz w:val="18"/>
              </w:rPr>
              <w:t>Étape</w:t>
            </w:r>
          </w:p>
        </w:tc>
        <w:tc>
          <w:tcPr>
            <w:tcW w:type="dxa" w:w="4464"/>
            <w:shd w:fill="172D3D"/>
            <w:tcMar>
              <w:top w:w="85" w:type="dxa"/>
              <w:left w:w="85" w:type="dxa"/>
              <w:bottom w:w="85" w:type="dxa"/>
              <w:right w:w="85" w:type="dxa"/>
            </w:tcMar>
          </w:tcPr>
          <w:p>
            <w:r>
              <w:rPr>
                <w:b/>
                <w:color w:val="FFFFFF"/>
                <w:sz w:val="18"/>
              </w:rPr>
              <w:t>Travail et livrable</w:t>
            </w:r>
          </w:p>
        </w:tc>
        <w:tc>
          <w:tcPr>
            <w:tcW w:type="dxa" w:w="3744"/>
            <w:shd w:fill="172D3D"/>
            <w:tcMar>
              <w:top w:w="85" w:type="dxa"/>
              <w:left w:w="85" w:type="dxa"/>
              <w:bottom w:w="85" w:type="dxa"/>
              <w:right w:w="85" w:type="dxa"/>
            </w:tcMar>
          </w:tcPr>
          <w:p>
            <w:r>
              <w:rPr>
                <w:b/>
                <w:color w:val="FFFFFF"/>
                <w:sz w:val="18"/>
              </w:rPr>
              <w:t>Condition de passage</w:t>
            </w:r>
          </w:p>
        </w:tc>
      </w:tr>
      <w:tr>
        <w:trPr>
          <w:cantSplit/>
        </w:trPr>
        <w:tc>
          <w:tcPr>
            <w:tcW w:type="dxa" w:w="1944"/>
            <w:vAlign w:val="center"/>
            <w:tcMar>
              <w:top w:w="85" w:type="dxa"/>
              <w:left w:w="85" w:type="dxa"/>
              <w:bottom w:w="85" w:type="dxa"/>
              <w:right w:w="85" w:type="dxa"/>
            </w:tcMar>
            <w:shd w:fill="EDF2F5"/>
          </w:tcPr>
          <w:p>
            <w:pPr>
              <w:spacing w:after="40" w:before="20" w:line="252" w:lineRule="auto"/>
            </w:pPr>
            <w:r>
              <w:rPr>
                <w:sz w:val="18"/>
              </w:rPr>
              <w:t>Avant dépôt</w:t>
            </w:r>
          </w:p>
        </w:tc>
        <w:tc>
          <w:tcPr>
            <w:tcW w:type="dxa" w:w="4464"/>
            <w:vAlign w:val="center"/>
            <w:tcMar>
              <w:top w:w="85" w:type="dxa"/>
              <w:left w:w="85" w:type="dxa"/>
              <w:bottom w:w="85" w:type="dxa"/>
              <w:right w:w="85" w:type="dxa"/>
            </w:tcMar>
            <w:shd w:fill="EDF2F5"/>
          </w:tcPr>
          <w:p>
            <w:pPr>
              <w:spacing w:after="40" w:before="20" w:line="252" w:lineRule="auto"/>
            </w:pPr>
            <w:r>
              <w:rPr>
                <w:sz w:val="18"/>
              </w:rPr>
              <w:t>Réunir les pièces, approuver le budget et le mécanisme d’avance</w:t>
            </w:r>
          </w:p>
        </w:tc>
        <w:tc>
          <w:tcPr>
            <w:tcW w:type="dxa" w:w="3744"/>
            <w:vAlign w:val="center"/>
            <w:tcMar>
              <w:top w:w="85" w:type="dxa"/>
              <w:left w:w="85" w:type="dxa"/>
              <w:bottom w:w="85" w:type="dxa"/>
              <w:right w:w="85" w:type="dxa"/>
            </w:tcMar>
            <w:shd w:fill="EDF2F5"/>
          </w:tcPr>
          <w:p>
            <w:pPr>
              <w:spacing w:after="40" w:before="20" w:line="252" w:lineRule="auto"/>
            </w:pPr>
            <w:r>
              <w:rPr>
                <w:sz w:val="18"/>
              </w:rPr>
              <w:t>Direction : dossier complet et signé selon les règles fictives</w:t>
            </w:r>
          </w:p>
        </w:tc>
      </w:tr>
      <w:tr>
        <w:trPr>
          <w:cantSplit/>
        </w:trPr>
        <w:tc>
          <w:tcPr>
            <w:tcW w:type="dxa" w:w="1944"/>
            <w:vAlign w:val="center"/>
            <w:tcMar>
              <w:top w:w="85" w:type="dxa"/>
              <w:left w:w="85" w:type="dxa"/>
              <w:bottom w:w="85" w:type="dxa"/>
              <w:right w:w="85" w:type="dxa"/>
            </w:tcMar>
          </w:tcPr>
          <w:p>
            <w:pPr>
              <w:spacing w:after="40" w:before="20" w:line="252" w:lineRule="auto"/>
            </w:pPr>
            <w:r>
              <w:rPr>
                <w:sz w:val="18"/>
              </w:rPr>
              <w:t>Avant démarrage</w:t>
            </w:r>
          </w:p>
        </w:tc>
        <w:tc>
          <w:tcPr>
            <w:tcW w:type="dxa" w:w="4464"/>
            <w:vAlign w:val="center"/>
            <w:tcMar>
              <w:top w:w="85" w:type="dxa"/>
              <w:left w:w="85" w:type="dxa"/>
              <w:bottom w:w="85" w:type="dxa"/>
              <w:right w:w="85" w:type="dxa"/>
            </w:tcMar>
          </w:tcPr>
          <w:p>
            <w:pPr>
              <w:spacing w:after="40" w:before="20" w:line="252" w:lineRule="auto"/>
            </w:pPr>
            <w:r>
              <w:rPr>
                <w:sz w:val="18"/>
              </w:rPr>
              <w:t>Relire la décision, attribuer les responsabilités et confirmer la trésorerie</w:t>
            </w:r>
          </w:p>
        </w:tc>
        <w:tc>
          <w:tcPr>
            <w:tcW w:type="dxa" w:w="3744"/>
            <w:vAlign w:val="center"/>
            <w:tcMar>
              <w:top w:w="85" w:type="dxa"/>
              <w:left w:w="85" w:type="dxa"/>
              <w:bottom w:w="85" w:type="dxa"/>
              <w:right w:w="85" w:type="dxa"/>
            </w:tcMar>
          </w:tcPr>
          <w:p>
            <w:pPr>
              <w:spacing w:after="40" w:before="20" w:line="252" w:lineRule="auto"/>
            </w:pPr>
            <w:r>
              <w:rPr>
                <w:sz w:val="18"/>
              </w:rPr>
              <w:t>Accord écrit et financement documenté</w:t>
            </w:r>
          </w:p>
        </w:tc>
      </w:tr>
      <w:tr>
        <w:trPr>
          <w:cantSplit/>
        </w:trPr>
        <w:tc>
          <w:tcPr>
            <w:tcW w:type="dxa" w:w="1944"/>
            <w:vAlign w:val="center"/>
            <w:tcMar>
              <w:top w:w="85" w:type="dxa"/>
              <w:left w:w="85" w:type="dxa"/>
              <w:bottom w:w="85" w:type="dxa"/>
              <w:right w:w="85" w:type="dxa"/>
            </w:tcMar>
            <w:shd w:fill="EDF2F5"/>
          </w:tcPr>
          <w:p>
            <w:pPr>
              <w:spacing w:after="40" w:before="20" w:line="252" w:lineRule="auto"/>
            </w:pPr>
            <w:r>
              <w:rPr>
                <w:sz w:val="18"/>
              </w:rPr>
              <w:t>Mois 1 après accord</w:t>
            </w:r>
          </w:p>
        </w:tc>
        <w:tc>
          <w:tcPr>
            <w:tcW w:type="dxa" w:w="4464"/>
            <w:vAlign w:val="center"/>
            <w:tcMar>
              <w:top w:w="85" w:type="dxa"/>
              <w:left w:w="85" w:type="dxa"/>
              <w:bottom w:w="85" w:type="dxa"/>
              <w:right w:w="85" w:type="dxa"/>
            </w:tcMar>
            <w:shd w:fill="EDF2F5"/>
          </w:tcPr>
          <w:p>
            <w:pPr>
              <w:spacing w:after="40" w:before="20" w:line="252" w:lineRule="auto"/>
            </w:pPr>
            <w:r>
              <w:rPr>
                <w:sz w:val="18"/>
              </w:rPr>
              <w:t>Achats et installation; classement des pièces</w:t>
            </w:r>
          </w:p>
        </w:tc>
        <w:tc>
          <w:tcPr>
            <w:tcW w:type="dxa" w:w="3744"/>
            <w:vAlign w:val="center"/>
            <w:tcMar>
              <w:top w:w="85" w:type="dxa"/>
              <w:left w:w="85" w:type="dxa"/>
              <w:bottom w:w="85" w:type="dxa"/>
              <w:right w:w="85" w:type="dxa"/>
            </w:tcMar>
            <w:shd w:fill="EDF2F5"/>
          </w:tcPr>
          <w:p>
            <w:pPr>
              <w:spacing w:after="40" w:before="20" w:line="252" w:lineRule="auto"/>
            </w:pPr>
            <w:r>
              <w:rPr>
                <w:sz w:val="18"/>
              </w:rPr>
              <w:t>Autorisations et conditions vérifiées</w:t>
            </w:r>
          </w:p>
        </w:tc>
      </w:tr>
      <w:tr>
        <w:trPr>
          <w:cantSplit/>
        </w:trPr>
        <w:tc>
          <w:tcPr>
            <w:tcW w:type="dxa" w:w="1944"/>
            <w:vAlign w:val="center"/>
            <w:tcMar>
              <w:top w:w="85" w:type="dxa"/>
              <w:left w:w="85" w:type="dxa"/>
              <w:bottom w:w="85" w:type="dxa"/>
              <w:right w:w="85" w:type="dxa"/>
            </w:tcMar>
          </w:tcPr>
          <w:p>
            <w:pPr>
              <w:spacing w:after="40" w:before="20" w:line="252" w:lineRule="auto"/>
            </w:pPr>
            <w:r>
              <w:rPr>
                <w:sz w:val="18"/>
              </w:rPr>
              <w:t>Mois 2 à 4</w:t>
            </w:r>
          </w:p>
        </w:tc>
        <w:tc>
          <w:tcPr>
            <w:tcW w:type="dxa" w:w="4464"/>
            <w:vAlign w:val="center"/>
            <w:tcMar>
              <w:top w:w="85" w:type="dxa"/>
              <w:left w:w="85" w:type="dxa"/>
              <w:bottom w:w="85" w:type="dxa"/>
              <w:right w:w="85" w:type="dxa"/>
            </w:tcMar>
          </w:tcPr>
          <w:p>
            <w:pPr>
              <w:spacing w:after="40" w:before="20" w:line="252" w:lineRule="auto"/>
            </w:pPr>
            <w:r>
              <w:rPr>
                <w:sz w:val="18"/>
              </w:rPr>
              <w:t>Formation et cohortes; suivis de présence et dépenses</w:t>
            </w:r>
          </w:p>
        </w:tc>
        <w:tc>
          <w:tcPr>
            <w:tcW w:type="dxa" w:w="3744"/>
            <w:vAlign w:val="center"/>
            <w:tcMar>
              <w:top w:w="85" w:type="dxa"/>
              <w:left w:w="85" w:type="dxa"/>
              <w:bottom w:w="85" w:type="dxa"/>
              <w:right w:w="85" w:type="dxa"/>
            </w:tcMar>
          </w:tcPr>
          <w:p>
            <w:pPr>
              <w:spacing w:after="40" w:before="20" w:line="252" w:lineRule="auto"/>
            </w:pPr>
            <w:r>
              <w:rPr>
                <w:sz w:val="18"/>
              </w:rPr>
              <w:t>Écarts portés à la direction</w:t>
            </w:r>
          </w:p>
        </w:tc>
      </w:tr>
      <w:tr>
        <w:trPr>
          <w:cantSplit/>
        </w:trPr>
        <w:tc>
          <w:tcPr>
            <w:tcW w:type="dxa" w:w="1944"/>
            <w:vAlign w:val="center"/>
            <w:tcMar>
              <w:top w:w="85" w:type="dxa"/>
              <w:left w:w="85" w:type="dxa"/>
              <w:bottom w:w="85" w:type="dxa"/>
              <w:right w:w="85" w:type="dxa"/>
            </w:tcMar>
            <w:shd w:fill="EDF2F5"/>
          </w:tcPr>
          <w:p>
            <w:pPr>
              <w:spacing w:after="40" w:before="20" w:line="252" w:lineRule="auto"/>
            </w:pPr>
            <w:r>
              <w:rPr>
                <w:sz w:val="18"/>
              </w:rPr>
              <w:t>Mois 5</w:t>
            </w:r>
          </w:p>
        </w:tc>
        <w:tc>
          <w:tcPr>
            <w:tcW w:type="dxa" w:w="4464"/>
            <w:vAlign w:val="center"/>
            <w:tcMar>
              <w:top w:w="85" w:type="dxa"/>
              <w:left w:w="85" w:type="dxa"/>
              <w:bottom w:w="85" w:type="dxa"/>
              <w:right w:w="85" w:type="dxa"/>
            </w:tcMar>
            <w:shd w:fill="EDF2F5"/>
          </w:tcPr>
          <w:p>
            <w:pPr>
              <w:spacing w:after="40" w:before="20" w:line="252" w:lineRule="auto"/>
            </w:pPr>
            <w:r>
              <w:rPr>
                <w:sz w:val="18"/>
              </w:rPr>
              <w:t>Évaluation; constitution et validation de la reddition</w:t>
            </w:r>
          </w:p>
        </w:tc>
        <w:tc>
          <w:tcPr>
            <w:tcW w:type="dxa" w:w="3744"/>
            <w:vAlign w:val="center"/>
            <w:tcMar>
              <w:top w:w="85" w:type="dxa"/>
              <w:left w:w="85" w:type="dxa"/>
              <w:bottom w:w="85" w:type="dxa"/>
              <w:right w:w="85" w:type="dxa"/>
            </w:tcMar>
            <w:shd w:fill="EDF2F5"/>
          </w:tcPr>
          <w:p>
            <w:pPr>
              <w:spacing w:after="40" w:before="20" w:line="252" w:lineRule="auto"/>
            </w:pPr>
            <w:r>
              <w:rPr>
                <w:sz w:val="18"/>
              </w:rPr>
              <w:t>Pièces rapprochées; rapport approuvé</w:t>
            </w:r>
          </w:p>
        </w:tc>
      </w:tr>
      <w:tr>
        <w:trPr>
          <w:cantSplit/>
        </w:trPr>
        <w:tc>
          <w:tcPr>
            <w:tcW w:type="dxa" w:w="1944"/>
            <w:vAlign w:val="center"/>
            <w:tcMar>
              <w:top w:w="85" w:type="dxa"/>
              <w:left w:w="85" w:type="dxa"/>
              <w:bottom w:w="85" w:type="dxa"/>
              <w:right w:w="85" w:type="dxa"/>
            </w:tcMar>
          </w:tcPr>
          <w:p>
            <w:pPr>
              <w:spacing w:after="40" w:before="20" w:line="252" w:lineRule="auto"/>
            </w:pPr>
            <w:r>
              <w:rPr>
                <w:sz w:val="18"/>
              </w:rPr>
              <w:t>Après reddition</w:t>
            </w:r>
          </w:p>
        </w:tc>
        <w:tc>
          <w:tcPr>
            <w:tcW w:type="dxa" w:w="4464"/>
            <w:vAlign w:val="center"/>
            <w:tcMar>
              <w:top w:w="85" w:type="dxa"/>
              <w:left w:w="85" w:type="dxa"/>
              <w:bottom w:w="85" w:type="dxa"/>
              <w:right w:w="85" w:type="dxa"/>
            </w:tcMar>
          </w:tcPr>
          <w:p>
            <w:pPr>
              <w:spacing w:after="40" w:before="20" w:line="252" w:lineRule="auto"/>
            </w:pPr>
            <w:r>
              <w:rPr>
                <w:sz w:val="18"/>
              </w:rPr>
              <w:t>Réponses aux demandes; suivi du remboursement</w:t>
            </w:r>
          </w:p>
        </w:tc>
        <w:tc>
          <w:tcPr>
            <w:tcW w:type="dxa" w:w="3744"/>
            <w:vAlign w:val="center"/>
            <w:tcMar>
              <w:top w:w="85" w:type="dxa"/>
              <w:left w:w="85" w:type="dxa"/>
              <w:bottom w:w="85" w:type="dxa"/>
              <w:right w:w="85" w:type="dxa"/>
            </w:tcMar>
          </w:tcPr>
          <w:p>
            <w:pPr>
              <w:spacing w:after="40" w:before="20" w:line="252" w:lineRule="auto"/>
            </w:pPr>
            <w:r>
              <w:rPr>
                <w:sz w:val="18"/>
              </w:rPr>
              <w:t>Acceptation puis date de versement à confirmer</w:t>
            </w:r>
          </w:p>
        </w:tc>
      </w:tr>
    </w:tbl>
    <w:p>
      <w:pPr>
        <w:spacing w:after="0"/>
      </w:pPr>
    </w:p>
    <w:p>
      <w:pPr>
        <w:pStyle w:val="Heading2"/>
      </w:pPr>
      <w:r>
        <w:t>Dossier de reddition proposé</w:t>
      </w:r>
    </w:p>
    <w:p>
      <w:r>
        <w:rPr>
          <w:b w:val="0"/>
        </w:rPr>
        <w:t>Réunir la décision et ses conditions, le budget autorisé, les changements approuvés, les factures, les preuves de paiement, le rapprochement des dépenses et le bilan des activités. Définir les accès et la conservation des pièces selon le mandat réel.</w:t>
      </w:r>
    </w:p>
    <w:p>
      <w:pPr>
        <w:pStyle w:val="Heading2"/>
      </w:pPr>
      <w:r>
        <w:t>Suivi périodique proposé</w:t>
      </w:r>
    </w:p>
    <w:p>
      <w:r>
        <w:rPr>
          <w:b w:val="0"/>
        </w:rPr>
        <w:t>À chaque point convenu : état des pièces manquantes, dépenses engagées et payées, changements à valider, résultats effectivement observés et prochaines échéances. Les attestations ou contrôles spécialisés requis restent aux personnes habilitées.</w:t>
      </w:r>
    </w:p>
    <w:tbl>
      <w:tblPr>
        <w:tblW w:type="auto" w:w="0"/>
        <w:tblLook w:firstColumn="1" w:firstRow="1" w:lastColumn="0" w:lastRow="0" w:noHBand="0" w:noVBand="1" w:val="04A0"/>
      </w:tblPr>
      <w:tblGrid>
        <w:gridCol w:w="10166"/>
      </w:tblGrid>
      <w:tr>
        <w:trPr>
          <w:cantSplit/>
        </w:trPr>
        <w:tc>
          <w:tcPr>
            <w:tcW w:type="dxa" w:w="10166"/>
            <w:shd w:fill="EDF2F5"/>
            <w:tcMar>
              <w:top w:w="85" w:type="dxa"/>
              <w:left w:w="85" w:type="dxa"/>
              <w:bottom w:w="85" w:type="dxa"/>
              <w:right w:w="85" w:type="dxa"/>
            </w:tcMar>
          </w:tcPr>
          <w:p>
            <w:pPr>
              <w:spacing w:after="60"/>
            </w:pPr>
            <w:r>
              <w:rPr>
                <w:b/>
                <w:sz w:val="21"/>
              </w:rPr>
              <w:t>Correction apportée à la démonstration antérieure</w:t>
              <w:br/>
            </w:r>
            <w:r>
              <w:rPr>
                <w:sz w:val="20"/>
              </w:rPr>
              <w:t>Le mois 5 sert ici à préparer et faire valider la reddition. Aucun versement n’est garanti pendant ce mois : B1 prévoit un remboursement après réalisation et acceptation, sans délai de paiement documenté.</w:t>
            </w:r>
          </w:p>
        </w:tc>
      </w:tr>
    </w:tbl>
    <w:p>
      <w:pPr>
        <w:spacing w:after="0"/>
      </w:pPr>
    </w:p>
    <w:p>
      <w:r>
        <w:br w:type="page"/>
      </w:r>
    </w:p>
    <w:p>
      <w:pPr>
        <w:spacing w:after="180"/>
      </w:pPr>
      <w:r>
        <w:rPr>
          <w:b/>
          <w:color w:val="496679"/>
          <w:sz w:val="17"/>
        </w:rPr>
        <w:t>05 · TRAÇABILITÉ ET UTILISATION</w:t>
      </w:r>
    </w:p>
    <w:p>
      <w:pPr>
        <w:pStyle w:val="Title"/>
      </w:pPr>
      <w:r>
        <w:t>Un exemple vérifiable, pas une promesse de financement.</w:t>
      </w:r>
    </w:p>
    <w:tbl>
      <w:tblPr>
        <w:tblW w:type="auto" w:w="0"/>
        <w:jc w:val="center"/>
        <w:tblLayout w:type="fixed"/>
        <w:tblLook w:firstColumn="1" w:firstRow="1" w:lastColumn="0" w:lastRow="0" w:noHBand="0" w:noVBand="1" w:val="04A0"/>
      </w:tblPr>
      <w:tblGrid>
        <w:gridCol w:w="1872"/>
        <w:gridCol w:w="4464"/>
        <w:gridCol w:w="3816"/>
      </w:tblGrid>
      <w:tr>
        <w:trPr>
          <w:tblHeader/>
        </w:trPr>
        <w:tc>
          <w:tcPr>
            <w:tcW w:type="dxa" w:w="1872"/>
            <w:shd w:fill="172D3D"/>
            <w:tcMar>
              <w:top w:w="85" w:type="dxa"/>
              <w:left w:w="85" w:type="dxa"/>
              <w:bottom w:w="85" w:type="dxa"/>
              <w:right w:w="85" w:type="dxa"/>
            </w:tcMar>
          </w:tcPr>
          <w:p>
            <w:r>
              <w:rPr>
                <w:b/>
                <w:color w:val="FFFFFF"/>
                <w:sz w:val="18"/>
              </w:rPr>
              <w:t>Référence de scénario</w:t>
            </w:r>
          </w:p>
        </w:tc>
        <w:tc>
          <w:tcPr>
            <w:tcW w:type="dxa" w:w="4464"/>
            <w:shd w:fill="172D3D"/>
            <w:tcMar>
              <w:top w:w="85" w:type="dxa"/>
              <w:left w:w="85" w:type="dxa"/>
              <w:bottom w:w="85" w:type="dxa"/>
              <w:right w:w="85" w:type="dxa"/>
            </w:tcMar>
          </w:tcPr>
          <w:p>
            <w:r>
              <w:rPr>
                <w:b/>
                <w:color w:val="FFFFFF"/>
                <w:sz w:val="18"/>
              </w:rPr>
              <w:t>Pièce et localisation</w:t>
            </w:r>
          </w:p>
        </w:tc>
        <w:tc>
          <w:tcPr>
            <w:tcW w:type="dxa" w:w="3816"/>
            <w:shd w:fill="172D3D"/>
            <w:tcMar>
              <w:top w:w="85" w:type="dxa"/>
              <w:left w:w="85" w:type="dxa"/>
              <w:bottom w:w="85" w:type="dxa"/>
              <w:right w:w="85" w:type="dxa"/>
            </w:tcMar>
          </w:tcPr>
          <w:p>
            <w:r>
              <w:rPr>
                <w:b/>
                <w:color w:val="FFFFFF"/>
                <w:sz w:val="18"/>
              </w:rPr>
              <w:t>Usage dans l’analyse</w:t>
            </w:r>
          </w:p>
        </w:tc>
      </w:tr>
      <w:tr>
        <w:trPr>
          <w:cantSplit/>
        </w:trPr>
        <w:tc>
          <w:tcPr>
            <w:tcW w:type="dxa" w:w="1872"/>
            <w:vAlign w:val="center"/>
            <w:tcMar>
              <w:top w:w="85" w:type="dxa"/>
              <w:left w:w="85" w:type="dxa"/>
              <w:bottom w:w="85" w:type="dxa"/>
              <w:right w:w="85" w:type="dxa"/>
            </w:tcMar>
            <w:shd w:fill="EDF2F5"/>
          </w:tcPr>
          <w:p>
            <w:pPr>
              <w:spacing w:after="40" w:before="20" w:line="252" w:lineRule="auto"/>
            </w:pPr>
            <w:r>
              <w:rPr>
                <w:sz w:val="18"/>
              </w:rPr>
              <w:t>B1</w:t>
            </w:r>
          </w:p>
        </w:tc>
        <w:tc>
          <w:tcPr>
            <w:tcW w:type="dxa" w:w="4464"/>
            <w:vAlign w:val="center"/>
            <w:tcMar>
              <w:top w:w="85" w:type="dxa"/>
              <w:left w:w="85" w:type="dxa"/>
              <w:bottom w:w="85" w:type="dxa"/>
              <w:right w:w="85" w:type="dxa"/>
            </w:tcMar>
            <w:shd w:fill="EDF2F5"/>
          </w:tcPr>
          <w:p>
            <w:pPr>
              <w:spacing w:after="40" w:before="20" w:line="252" w:lineRule="auto"/>
            </w:pPr>
            <w:r>
              <w:rPr>
                <w:sz w:val="18"/>
              </w:rPr>
              <w:t>Cosmologix-02-Sources.pdf, p. 1</w:t>
            </w:r>
          </w:p>
        </w:tc>
        <w:tc>
          <w:tcPr>
            <w:tcW w:type="dxa" w:w="3816"/>
            <w:vAlign w:val="center"/>
            <w:tcMar>
              <w:top w:w="85" w:type="dxa"/>
              <w:left w:w="85" w:type="dxa"/>
              <w:bottom w:w="85" w:type="dxa"/>
              <w:right w:w="85" w:type="dxa"/>
            </w:tcMar>
            <w:shd w:fill="EDF2F5"/>
          </w:tcPr>
          <w:p>
            <w:pPr>
              <w:spacing w:after="40" w:before="20" w:line="252" w:lineRule="auto"/>
            </w:pPr>
            <w:r>
              <w:rPr>
                <w:sz w:val="18"/>
              </w:rPr>
              <w:t>Règles fictives; taux, plafond et remboursement</w:t>
            </w:r>
          </w:p>
        </w:tc>
      </w:tr>
      <w:tr>
        <w:trPr>
          <w:cantSplit/>
        </w:trPr>
        <w:tc>
          <w:tcPr>
            <w:tcW w:type="dxa" w:w="1872"/>
            <w:vAlign w:val="center"/>
            <w:tcMar>
              <w:top w:w="85" w:type="dxa"/>
              <w:left w:w="85" w:type="dxa"/>
              <w:bottom w:w="85" w:type="dxa"/>
              <w:right w:w="85" w:type="dxa"/>
            </w:tcMar>
          </w:tcPr>
          <w:p>
            <w:pPr>
              <w:spacing w:after="40" w:before="20" w:line="252" w:lineRule="auto"/>
            </w:pPr>
            <w:r>
              <w:rPr>
                <w:sz w:val="18"/>
              </w:rPr>
              <w:t>B2</w:t>
            </w:r>
          </w:p>
        </w:tc>
        <w:tc>
          <w:tcPr>
            <w:tcW w:type="dxa" w:w="4464"/>
            <w:vAlign w:val="center"/>
            <w:tcMar>
              <w:top w:w="85" w:type="dxa"/>
              <w:left w:w="85" w:type="dxa"/>
              <w:bottom w:w="85" w:type="dxa"/>
              <w:right w:w="85" w:type="dxa"/>
            </w:tcMar>
          </w:tcPr>
          <w:p>
            <w:pPr>
              <w:spacing w:after="40" w:before="20" w:line="252" w:lineRule="auto"/>
            </w:pPr>
            <w:r>
              <w:rPr>
                <w:sz w:val="18"/>
              </w:rPr>
              <w:t>Même fichier, p. 2</w:t>
            </w:r>
          </w:p>
        </w:tc>
        <w:tc>
          <w:tcPr>
            <w:tcW w:type="dxa" w:w="3816"/>
            <w:vAlign w:val="center"/>
            <w:tcMar>
              <w:top w:w="85" w:type="dxa"/>
              <w:left w:w="85" w:type="dxa"/>
              <w:bottom w:w="85" w:type="dxa"/>
              <w:right w:w="85" w:type="dxa"/>
            </w:tcMar>
          </w:tcPr>
          <w:p>
            <w:pPr>
              <w:spacing w:after="40" w:before="20" w:line="252" w:lineRule="auto"/>
            </w:pPr>
            <w:r>
              <w:rPr>
                <w:sz w:val="18"/>
              </w:rPr>
              <w:t>Besoin déclaré, cibles et rôles proposés</w:t>
            </w:r>
          </w:p>
        </w:tc>
      </w:tr>
      <w:tr>
        <w:trPr>
          <w:cantSplit/>
        </w:trPr>
        <w:tc>
          <w:tcPr>
            <w:tcW w:type="dxa" w:w="1872"/>
            <w:vAlign w:val="center"/>
            <w:tcMar>
              <w:top w:w="85" w:type="dxa"/>
              <w:left w:w="85" w:type="dxa"/>
              <w:bottom w:w="85" w:type="dxa"/>
              <w:right w:w="85" w:type="dxa"/>
            </w:tcMar>
            <w:shd w:fill="EDF2F5"/>
          </w:tcPr>
          <w:p>
            <w:pPr>
              <w:spacing w:after="40" w:before="20" w:line="252" w:lineRule="auto"/>
            </w:pPr>
            <w:r>
              <w:rPr>
                <w:sz w:val="18"/>
              </w:rPr>
              <w:t>B3</w:t>
            </w:r>
          </w:p>
        </w:tc>
        <w:tc>
          <w:tcPr>
            <w:tcW w:type="dxa" w:w="4464"/>
            <w:vAlign w:val="center"/>
            <w:tcMar>
              <w:top w:w="85" w:type="dxa"/>
              <w:left w:w="85" w:type="dxa"/>
              <w:bottom w:w="85" w:type="dxa"/>
              <w:right w:w="85" w:type="dxa"/>
            </w:tcMar>
            <w:shd w:fill="EDF2F5"/>
          </w:tcPr>
          <w:p>
            <w:pPr>
              <w:spacing w:after="40" w:before="20" w:line="252" w:lineRule="auto"/>
            </w:pPr>
            <w:r>
              <w:rPr>
                <w:sz w:val="18"/>
              </w:rPr>
              <w:t>Même fichier, p. 3</w:t>
            </w:r>
          </w:p>
        </w:tc>
        <w:tc>
          <w:tcPr>
            <w:tcW w:type="dxa" w:w="3816"/>
            <w:vAlign w:val="center"/>
            <w:tcMar>
              <w:top w:w="85" w:type="dxa"/>
              <w:left w:w="85" w:type="dxa"/>
              <w:bottom w:w="85" w:type="dxa"/>
              <w:right w:w="85" w:type="dxa"/>
            </w:tcMar>
            <w:shd w:fill="EDF2F5"/>
          </w:tcPr>
          <w:p>
            <w:pPr>
              <w:spacing w:after="40" w:before="20" w:line="252" w:lineRule="auto"/>
            </w:pPr>
            <w:r>
              <w:rPr>
                <w:sz w:val="18"/>
              </w:rPr>
              <w:t>Coûts et apports envisagés</w:t>
            </w:r>
          </w:p>
        </w:tc>
      </w:tr>
      <w:tr>
        <w:trPr>
          <w:cantSplit/>
        </w:trPr>
        <w:tc>
          <w:tcPr>
            <w:tcW w:type="dxa" w:w="1872"/>
            <w:vAlign w:val="center"/>
            <w:tcMar>
              <w:top w:w="85" w:type="dxa"/>
              <w:left w:w="85" w:type="dxa"/>
              <w:bottom w:w="85" w:type="dxa"/>
              <w:right w:w="85" w:type="dxa"/>
            </w:tcMar>
          </w:tcPr>
          <w:p>
            <w:pPr>
              <w:spacing w:after="40" w:before="20" w:line="252" w:lineRule="auto"/>
            </w:pPr>
            <w:r>
              <w:rPr>
                <w:sz w:val="18"/>
              </w:rPr>
              <w:t>B4</w:t>
            </w:r>
          </w:p>
        </w:tc>
        <w:tc>
          <w:tcPr>
            <w:tcW w:type="dxa" w:w="4464"/>
            <w:vAlign w:val="center"/>
            <w:tcMar>
              <w:top w:w="85" w:type="dxa"/>
              <w:left w:w="85" w:type="dxa"/>
              <w:bottom w:w="85" w:type="dxa"/>
              <w:right w:w="85" w:type="dxa"/>
            </w:tcMar>
          </w:tcPr>
          <w:p>
            <w:pPr>
              <w:spacing w:after="40" w:before="20" w:line="252" w:lineRule="auto"/>
            </w:pPr>
            <w:r>
              <w:rPr>
                <w:sz w:val="18"/>
              </w:rPr>
              <w:t>Même fichier, p. 3</w:t>
            </w:r>
          </w:p>
        </w:tc>
        <w:tc>
          <w:tcPr>
            <w:tcW w:type="dxa" w:w="3816"/>
            <w:vAlign w:val="center"/>
            <w:tcMar>
              <w:top w:w="85" w:type="dxa"/>
              <w:left w:w="85" w:type="dxa"/>
              <w:bottom w:w="85" w:type="dxa"/>
              <w:right w:w="85" w:type="dxa"/>
            </w:tcMar>
          </w:tcPr>
          <w:p>
            <w:pPr>
              <w:spacing w:after="40" w:before="20" w:line="252" w:lineRule="auto"/>
            </w:pPr>
            <w:r>
              <w:rPr>
                <w:sz w:val="18"/>
              </w:rPr>
              <w:t>Inventaire des pièces disponibles et manquantes</w:t>
            </w:r>
          </w:p>
        </w:tc>
      </w:tr>
      <w:tr>
        <w:trPr>
          <w:cantSplit/>
        </w:trPr>
        <w:tc>
          <w:tcPr>
            <w:tcW w:type="dxa" w:w="1872"/>
            <w:vAlign w:val="center"/>
            <w:tcMar>
              <w:top w:w="85" w:type="dxa"/>
              <w:left w:w="85" w:type="dxa"/>
              <w:bottom w:w="85" w:type="dxa"/>
              <w:right w:w="85" w:type="dxa"/>
            </w:tcMar>
            <w:shd w:fill="EDF2F5"/>
          </w:tcPr>
          <w:p>
            <w:pPr>
              <w:spacing w:after="40" w:before="20" w:line="252" w:lineRule="auto"/>
            </w:pPr>
            <w:r>
              <w:rPr>
                <w:sz w:val="18"/>
              </w:rPr>
              <w:t>Analyse d’origine</w:t>
            </w:r>
          </w:p>
        </w:tc>
        <w:tc>
          <w:tcPr>
            <w:tcW w:type="dxa" w:w="4464"/>
            <w:vAlign w:val="center"/>
            <w:tcMar>
              <w:top w:w="85" w:type="dxa"/>
              <w:left w:w="85" w:type="dxa"/>
              <w:bottom w:w="85" w:type="dxa"/>
              <w:right w:w="85" w:type="dxa"/>
            </w:tcMar>
            <w:shd w:fill="EDF2F5"/>
          </w:tcPr>
          <w:p>
            <w:pPr>
              <w:spacing w:after="40" w:before="20" w:line="252" w:lineRule="auto"/>
            </w:pPr>
            <w:r>
              <w:rPr>
                <w:sz w:val="18"/>
              </w:rPr>
              <w:t>Cosmologix-02-Subvention.pdf, 4 pages</w:t>
            </w:r>
          </w:p>
        </w:tc>
        <w:tc>
          <w:tcPr>
            <w:tcW w:type="dxa" w:w="3816"/>
            <w:vAlign w:val="center"/>
            <w:tcMar>
              <w:top w:w="85" w:type="dxa"/>
              <w:left w:w="85" w:type="dxa"/>
              <w:bottom w:w="85" w:type="dxa"/>
              <w:right w:w="85" w:type="dxa"/>
            </w:tcMar>
            <w:shd w:fill="EDF2F5"/>
          </w:tcPr>
          <w:p>
            <w:pPr>
              <w:spacing w:after="40" w:before="20" w:line="252" w:lineRule="auto"/>
            </w:pPr>
            <w:r>
              <w:rPr>
                <w:sz w:val="18"/>
              </w:rPr>
              <w:t>Base éditoriale du 20 octobre 2026</w:t>
            </w:r>
          </w:p>
        </w:tc>
      </w:tr>
    </w:tbl>
    <w:p>
      <w:pPr>
        <w:spacing w:after="0"/>
      </w:pPr>
    </w:p>
    <w:p>
      <w:pPr>
        <w:pStyle w:val="Heading2"/>
      </w:pPr>
      <w:r>
        <w:t>Ce qui a été conservé et complété</w:t>
      </w:r>
    </w:p>
    <w:p>
      <w:r>
        <w:rPr>
          <w:b w:val="0"/>
        </w:rPr>
        <w:t>Les montants et cibles de B1 à B4 sont conservés. La présentation LECLERC sépare plus nettement calcul, financement confirmé et trésorerie. Elle ajoute un suivi explicite des pièces, des points de décision et de la préparation de la reddition. Aucun fait client ni résultat n’a été ajouté.</w:t>
      </w:r>
    </w:p>
    <w:p>
      <w:pPr>
        <w:pStyle w:val="Heading2"/>
      </w:pPr>
      <w:r>
        <w:t>Classeur associé</w:t>
      </w:r>
    </w:p>
    <w:p>
      <w:r>
        <w:rPr>
          <w:b w:val="0"/>
        </w:rPr>
        <w:t>Le fichier LECLERC_Outil_Aide_Financiere.xlsx contient un accueil, les hypothèses, le budget, le financement, le registre des pièces et les contrôles. Les cellules d’entrée sont distinguées des formules. Les données et les montants documentés restent fictifs; modifier une case ne remplace pas la pièce correspondante.</w:t>
      </w:r>
    </w:p>
    <w:p>
      <w:pPr>
        <w:pStyle w:val="Heading2"/>
      </w:pPr>
      <w:r>
        <w:t>Contrôles effectués pour cette adaptation</w:t>
      </w:r>
    </w:p>
    <w:p>
      <w:r>
        <w:rPr>
          <w:b w:val="0"/>
        </w:rPr>
        <w:t>Recalcul du budget total, de l’assiette admissible, du plafonnement de l’aide, des apports requis et des scénarios. Vérification des liens aux pièces. Les classeurs et documents ne constituent ni une opinion juridique, ni un audit, ni une vérification auprès d’un bailleur réel.</w:t>
      </w:r>
    </w:p>
    <w:tbl>
      <w:tblPr>
        <w:tblW w:type="auto" w:w="0"/>
        <w:tblLook w:firstColumn="1" w:firstRow="1" w:lastColumn="0" w:lastRow="0" w:noHBand="0" w:noVBand="1" w:val="04A0"/>
      </w:tblPr>
      <w:tblGrid>
        <w:gridCol w:w="10166"/>
      </w:tblGrid>
      <w:tr>
        <w:trPr>
          <w:cantSplit/>
        </w:trPr>
        <w:tc>
          <w:tcPr>
            <w:tcW w:type="dxa" w:w="10166"/>
            <w:shd w:fill="EDF2F5"/>
            <w:tcMar>
              <w:top w:w="85" w:type="dxa"/>
              <w:left w:w="85" w:type="dxa"/>
              <w:bottom w:w="85" w:type="dxa"/>
              <w:right w:w="85" w:type="dxa"/>
            </w:tcMar>
          </w:tcPr>
          <w:p>
            <w:pPr>
              <w:spacing w:after="60"/>
            </w:pPr>
            <w:r>
              <w:rPr>
                <w:b/>
                <w:sz w:val="21"/>
              </w:rPr>
              <w:t>Avant un usage réel</w:t>
              <w:br/>
            </w:r>
            <w:r>
              <w:rPr>
                <w:sz w:val="20"/>
              </w:rPr>
              <w:t>Remplacer le scénario par les modalités officielles du programme choisi, les devis et les pièces autorisées. Faire valider l’admissibilité, les taxes, les cumuls, les signatures et le traitement des données par les responsables compétents. Ne jamais déposer ce dossier fictif.</w:t>
            </w:r>
          </w:p>
        </w:tc>
      </w:tr>
    </w:tbl>
    <w:p>
      <w:pPr>
        <w:spacing w:after="0"/>
      </w:pPr>
    </w:p>
    <w:sectPr w:rsidR="00FC693F" w:rsidRPr="0006063C" w:rsidSect="00034616">
      <w:headerReference w:type="default" r:id="rId9"/>
      <w:footerReference w:type="default" r:id="rId10"/>
      <w:pgSz w:w="12240" w:h="15840"/>
      <w:pgMar w:top="1181" w:right="1037" w:bottom="1008" w:left="1037"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8136" w:val="left"/>
        <w:tab w:pos="8136" w:val="left"/>
      </w:tabs>
      <w:spacing w:before="100"/>
    </w:pPr>
    <w:r>
      <w:rPr>
        <w:sz w:val="15"/>
      </w:rPr>
      <w:t>LSC-DEMO-04 · Démonstration fictive · 02.11.2026</w:t>
      <w:tab/>
      <w:t xml:space="preserve">Page </w:t>
    </w:r>
    <w:fldSimple w:instr="PAGE">
      <w:r>
        <w:rPr>
          <w:sz w:val="15"/>
        </w:rPr>
        <w:t>1</w:t>
      </w:r>
    </w:fldSimple>
    <w:r>
      <w:rPr>
        <w:sz w:val="15"/>
      </w:rPr>
      <w:t xml:space="preserve"> / </w:t>
    </w:r>
    <w:fldSimple w:instr="NUMPAGES">
      <w:r>
        <w:rPr>
          <w:sz w:val="15"/>
        </w:rPr>
        <w:t>5</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80"/>
      <w:pBdr>
        <w:bottom w:val="single" w:sz="6" w:color="CCD6DD"/>
      </w:pBdr>
    </w:pPr>
    <w:r>
      <w:rPr>
        <w:b/>
        <w:color w:val="172D3D"/>
        <w:sz w:val="30"/>
      </w:rPr>
      <w:t>LECLERC</w:t>
    </w:r>
    <w:r>
      <w:rPr>
        <w:color w:val="496679"/>
        <w:sz w:val="18"/>
      </w:rPr>
      <w:t xml:space="preserve">  SERVICES-CONSEILS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120"/>
    </w:pPr>
    <w:rPr>
      <w:rFonts w:ascii="Calibri" w:hAnsi="Calibri"/>
      <w:color w:val="172D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outlineLvl w:val="0"/>
    </w:pPr>
    <w:rPr>
      <w:rFonts w:asciiTheme="majorHAnsi" w:eastAsiaTheme="majorEastAsia" w:hAnsiTheme="majorHAnsi" w:cstheme="majorBidi" w:ascii="Calibri" w:hAnsi="Calibri"/>
      <w:b/>
      <w:bCs/>
      <w:color w:val="172D3D"/>
      <w:sz w:val="44"/>
      <w:szCs w:val="28"/>
    </w:rPr>
  </w:style>
  <w:style w:type="paragraph" w:styleId="Heading2">
    <w:name w:val="heading 2"/>
    <w:basedOn w:val="Normal"/>
    <w:next w:val="Normal"/>
    <w:link w:val="Heading2Char"/>
    <w:uiPriority w:val="9"/>
    <w:unhideWhenUsed/>
    <w:qFormat/>
    <w:rsid w:val="00FC693F"/>
    <w:pPr>
      <w:keepNext/>
      <w:keepLines/>
      <w:spacing w:before="180" w:after="140"/>
      <w:outlineLvl w:val="1"/>
    </w:pPr>
    <w:rPr>
      <w:rFonts w:asciiTheme="majorHAnsi" w:eastAsiaTheme="majorEastAsia" w:hAnsiTheme="majorHAnsi" w:cstheme="majorBidi" w:ascii="Calibri" w:hAnsi="Calibri"/>
      <w:b/>
      <w:bCs/>
      <w:color w:val="496679"/>
      <w:sz w:val="26"/>
      <w:szCs w:val="26"/>
    </w:rPr>
  </w:style>
  <w:style w:type="paragraph" w:styleId="Heading3">
    <w:name w:val="heading 3"/>
    <w:basedOn w:val="Normal"/>
    <w:next w:val="Normal"/>
    <w:link w:val="Heading3Char"/>
    <w:uiPriority w:val="9"/>
    <w:unhideWhenUsed/>
    <w:qFormat/>
    <w:rsid w:val="00FC693F"/>
    <w:pPr>
      <w:keepNext/>
      <w:keepLines/>
      <w:spacing w:before="180" w:after="140"/>
      <w:outlineLvl w:val="2"/>
    </w:pPr>
    <w:rPr>
      <w:rFonts w:asciiTheme="majorHAnsi" w:eastAsiaTheme="majorEastAsia" w:hAnsiTheme="majorHAnsi" w:cstheme="majorBidi" w:ascii="Calibri" w:hAnsi="Calibri"/>
      <w:b/>
      <w:bCs/>
      <w:color w:val="172D3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0"/>
      <w:contextualSpacing/>
    </w:pPr>
    <w:rPr>
      <w:rFonts w:asciiTheme="majorHAnsi" w:eastAsiaTheme="majorEastAsia" w:hAnsiTheme="majorHAnsi" w:cstheme="majorBidi" w:ascii="Calibri" w:hAnsi="Calibri"/>
      <w:b w:val="0"/>
      <w:color w:val="172D3D"/>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Préparer une demande d’aide financière et sa reddition</dc:title>
  <dc:subject>Démonstration fictive — adaptation documentée depuis les archives COSMOLOGIX</dc:subject>
  <dc:creator>LECLERC SERVICES-CONSEILS</dc:creator>
  <cp:keywords>démonstration fictive, préproduction, LECLERC</cp:keywords>
  <dc:description>generated by python-docx</dc:description>
  <cp:lastModifiedBy/>
  <cp:revision>1</cp:revision>
  <dcterms:created xsi:type="dcterms:W3CDTF">2013-12-23T23:15:00Z</dcterms:created>
  <dcterms:modified xsi:type="dcterms:W3CDTF">2013-12-23T23:15:00Z</dcterms:modified>
  <cp:category/>
</cp:coreProperties>
</file>