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496679"/>
          <w:sz w:val="17"/>
        </w:rPr>
        <w:t>DOSSIER 05 · COORDINATION ET SUIVI DE PROJETS</w:t>
      </w:r>
    </w:p>
    <w:p>
      <w:pPr>
        <w:pStyle w:val="Title"/>
      </w:pPr>
      <w:r>
        <w:t>Un budget lisible.</w:t>
        <w:br/>
        <w:t>Des décisions explicites.</w:t>
      </w:r>
    </w:p>
    <w:p>
      <w:r>
        <w:rPr>
          <w:b w:val="0"/>
        </w:rPr>
        <w:t>Centre communautaire des Érables — réaménagement fictif. Situation arrêtée au 19 octobre 2026; adaptation LECLERC du 2 novembre 2026.</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Démonstration fictive, sans mandat client</w:t>
              <w:br/>
            </w:r>
            <w:r>
              <w:rPr>
                <w:sz w:val="20"/>
              </w:rPr>
              <w:t>Les budgets, factures, intervenants, échanges et signatures décrites sont inventés. Les montants sont en dollars canadiens avant taxes. Aucune réception de travaux ni conformité technique n’est attestée.</w:t>
            </w:r>
          </w:p>
        </w:tc>
      </w:tr>
    </w:tbl>
    <w:p>
      <w:pPr>
        <w:spacing w:after="0"/>
      </w:pPr>
    </w:p>
    <w:tbl>
      <w:tblPr>
        <w:tblW w:type="auto" w:w="0"/>
        <w:jc w:val="center"/>
        <w:tblLayout w:type="fixed"/>
        <w:tblLook w:firstColumn="1" w:firstRow="1" w:lastColumn="0" w:lastRow="0" w:noHBand="0" w:noVBand="1" w:val="04A0"/>
      </w:tblPr>
      <w:tblGrid>
        <w:gridCol w:w="3384"/>
        <w:gridCol w:w="3384"/>
        <w:gridCol w:w="3384"/>
      </w:tblGrid>
      <w:tr>
        <w:trPr>
          <w:tblHeader/>
        </w:trPr>
        <w:tc>
          <w:tcPr>
            <w:tcW w:type="dxa" w:w="3384"/>
            <w:shd w:fill="172D3D"/>
            <w:tcMar>
              <w:top w:w="85" w:type="dxa"/>
              <w:left w:w="85" w:type="dxa"/>
              <w:bottom w:w="85" w:type="dxa"/>
              <w:right w:w="85" w:type="dxa"/>
            </w:tcMar>
          </w:tcPr>
          <w:p>
            <w:r>
              <w:rPr>
                <w:b/>
                <w:color w:val="FFFFFF"/>
                <w:sz w:val="18"/>
              </w:rPr>
              <w:t>Budget du scénario</w:t>
            </w:r>
          </w:p>
        </w:tc>
        <w:tc>
          <w:tcPr>
            <w:tcW w:type="dxa" w:w="3384"/>
            <w:shd w:fill="172D3D"/>
            <w:tcMar>
              <w:top w:w="85" w:type="dxa"/>
              <w:left w:w="85" w:type="dxa"/>
              <w:bottom w:w="85" w:type="dxa"/>
              <w:right w:w="85" w:type="dxa"/>
            </w:tcMar>
          </w:tcPr>
          <w:p>
            <w:r>
              <w:rPr>
                <w:b/>
                <w:color w:val="FFFFFF"/>
                <w:sz w:val="18"/>
              </w:rPr>
              <w:t>Engagement signé décrit</w:t>
            </w:r>
          </w:p>
        </w:tc>
        <w:tc>
          <w:tcPr>
            <w:tcW w:type="dxa" w:w="3384"/>
            <w:shd w:fill="172D3D"/>
            <w:tcMar>
              <w:top w:w="85" w:type="dxa"/>
              <w:left w:w="85" w:type="dxa"/>
              <w:bottom w:w="85" w:type="dxa"/>
              <w:right w:w="85" w:type="dxa"/>
            </w:tcMar>
          </w:tcPr>
          <w:p>
            <w:r>
              <w:rPr>
                <w:b/>
                <w:color w:val="FFFFFF"/>
                <w:sz w:val="18"/>
              </w:rPr>
              <w:t>Changement à décider</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240 000 $</w:t>
            </w:r>
          </w:p>
        </w:tc>
        <w:tc>
          <w:tcPr>
            <w:tcW w:type="dxa" w:w="3384"/>
            <w:vAlign w:val="center"/>
            <w:tcMar>
              <w:top w:w="85" w:type="dxa"/>
              <w:left w:w="85" w:type="dxa"/>
              <w:bottom w:w="85" w:type="dxa"/>
              <w:right w:w="85" w:type="dxa"/>
            </w:tcMar>
            <w:shd w:fill="EDF2F5"/>
          </w:tcPr>
          <w:p>
            <w:pPr>
              <w:spacing w:after="40" w:before="20" w:line="252" w:lineRule="auto"/>
            </w:pPr>
            <w:r>
              <w:rPr>
                <w:sz w:val="18"/>
              </w:rPr>
              <w:t>190 000 $</w:t>
            </w:r>
          </w:p>
        </w:tc>
        <w:tc>
          <w:tcPr>
            <w:tcW w:type="dxa" w:w="3384"/>
            <w:vAlign w:val="center"/>
            <w:tcMar>
              <w:top w:w="85" w:type="dxa"/>
              <w:left w:w="85" w:type="dxa"/>
              <w:bottom w:w="85" w:type="dxa"/>
              <w:right w:w="85" w:type="dxa"/>
            </w:tcMar>
            <w:shd w:fill="EDF2F5"/>
          </w:tcPr>
          <w:p>
            <w:pPr>
              <w:spacing w:after="40" w:before="20" w:line="252" w:lineRule="auto"/>
            </w:pPr>
            <w:r>
              <w:rPr>
                <w:sz w:val="18"/>
              </w:rPr>
              <w:t>18 500 $</w:t>
            </w:r>
          </w:p>
        </w:tc>
      </w:tr>
    </w:tbl>
    <w:p>
      <w:pPr>
        <w:spacing w:after="0"/>
      </w:pPr>
    </w:p>
    <w:p>
      <w:pPr>
        <w:pStyle w:val="Heading2"/>
      </w:pPr>
      <w:r>
        <w:t>Deux décisions avant de communiquer une date</w:t>
      </w:r>
    </w:p>
    <w:p>
      <w:r>
        <w:rPr>
          <w:b w:val="0"/>
        </w:rPr>
        <w:t>Faire valider la portée et le prix du changement, puis obtenir une décision écrite de l’autorité compétente. Faire confirmer le calendrier technique et la réception avant d’annoncer l’ouverture. La marge budgétaire ne constitue pas une autorisation de dépenser.</w:t>
      </w:r>
    </w:p>
    <w:p>
      <w:pPr>
        <w:pStyle w:val="Heading2"/>
      </w:pPr>
      <w:r>
        <w:t>Le point de contrôle documentaire</w:t>
      </w:r>
    </w:p>
    <w:p>
      <w:r>
        <w:rPr>
          <w:b w:val="0"/>
        </w:rPr>
        <w:t>Le renvoi de F-102 n’est pas une nouvelle facture. Les pièces C2 et C3 concernent le même montant de 38 000 $. L’original et son renvoi doivent rester liés, sans être additionnés deux fois.</w:t>
      </w:r>
    </w:p>
    <w:p>
      <w:pPr>
        <w:pStyle w:val="Heading2"/>
      </w:pPr>
      <w:r>
        <w:t>Contribution illustrée de LECLERC</w:t>
      </w:r>
    </w:p>
    <w:p>
      <w:r>
        <w:rPr>
          <w:b w:val="0"/>
        </w:rPr>
        <w:t>Rapprocher les montants, structurer le registre des pièces et des décisions, proposer un plan d’action et signaler les conditions du calendrier. La conception, les validations techniques, les engagements et la réception restent aux responsables habilités.</w:t>
      </w:r>
    </w:p>
    <w:p>
      <w:r>
        <w:rPr>
          <w:b w:val="0"/>
        </w:rPr>
        <w:t>La réédition du 2 novembre ne transforme pas les dates historiques de ce scénario en suivi actuel. Aucun paiement, message, ordre de changement ou réservation n’a été exécuté.</w:t>
      </w:r>
    </w:p>
    <w:p>
      <w:r>
        <w:br w:type="page"/>
      </w:r>
    </w:p>
    <w:p>
      <w:pPr>
        <w:spacing w:after="180"/>
      </w:pPr>
      <w:r>
        <w:rPr>
          <w:b/>
          <w:color w:val="496679"/>
          <w:sz w:val="17"/>
        </w:rPr>
        <w:t>02 · SUIVI FINANCIER</w:t>
      </w:r>
    </w:p>
    <w:p>
      <w:pPr>
        <w:pStyle w:val="Title"/>
      </w:pPr>
      <w:r>
        <w:t>Distinguer payé, facturé et engagé.</w:t>
      </w:r>
    </w:p>
    <w:p>
      <w:r>
        <w:rPr>
          <w:b w:val="0"/>
        </w:rPr>
        <w:t>Sources fictives C1 à C4. Les catégories ci-dessous évitent d’additionner plusieurs fois le même engagement.</w:t>
      </w:r>
    </w:p>
    <w:tbl>
      <w:tblPr>
        <w:tblW w:type="auto" w:w="0"/>
        <w:jc w:val="center"/>
        <w:tblLayout w:type="fixed"/>
        <w:tblLook w:firstColumn="1" w:firstRow="1" w:lastColumn="0" w:lastRow="0" w:noHBand="0" w:noVBand="1" w:val="04A0"/>
      </w:tblPr>
      <w:tblGrid>
        <w:gridCol w:w="4392"/>
        <w:gridCol w:w="1800"/>
        <w:gridCol w:w="3960"/>
      </w:tblGrid>
      <w:tr>
        <w:trPr>
          <w:tblHeader/>
        </w:trPr>
        <w:tc>
          <w:tcPr>
            <w:tcW w:type="dxa" w:w="4392"/>
            <w:shd w:fill="172D3D"/>
            <w:tcMar>
              <w:top w:w="85" w:type="dxa"/>
              <w:left w:w="85" w:type="dxa"/>
              <w:bottom w:w="85" w:type="dxa"/>
              <w:right w:w="85" w:type="dxa"/>
            </w:tcMar>
          </w:tcPr>
          <w:p>
            <w:r>
              <w:rPr>
                <w:b/>
                <w:color w:val="FFFFFF"/>
                <w:sz w:val="18"/>
              </w:rPr>
              <w:t>Composante du budget</w:t>
            </w:r>
          </w:p>
        </w:tc>
        <w:tc>
          <w:tcPr>
            <w:tcW w:type="dxa" w:w="1800"/>
            <w:shd w:fill="172D3D"/>
            <w:tcMar>
              <w:top w:w="85" w:type="dxa"/>
              <w:left w:w="85" w:type="dxa"/>
              <w:bottom w:w="85" w:type="dxa"/>
              <w:right w:w="85" w:type="dxa"/>
            </w:tcMar>
          </w:tcPr>
          <w:p>
            <w:r>
              <w:rPr>
                <w:b/>
                <w:color w:val="FFFFFF"/>
                <w:sz w:val="18"/>
              </w:rPr>
              <w:t>Montant</w:t>
            </w:r>
          </w:p>
        </w:tc>
        <w:tc>
          <w:tcPr>
            <w:tcW w:type="dxa" w:w="3960"/>
            <w:shd w:fill="172D3D"/>
            <w:tcMar>
              <w:top w:w="85" w:type="dxa"/>
              <w:left w:w="85" w:type="dxa"/>
              <w:bottom w:w="85" w:type="dxa"/>
              <w:right w:w="85" w:type="dxa"/>
            </w:tcMar>
          </w:tcPr>
          <w:p>
            <w:r>
              <w:rPr>
                <w:b/>
                <w:color w:val="FFFFFF"/>
                <w:sz w:val="18"/>
              </w:rPr>
              <w:t>Traitement</w:t>
            </w:r>
          </w:p>
        </w:tc>
      </w:tr>
      <w:tr>
        <w:trPr>
          <w:cantSplit/>
        </w:trPr>
        <w:tc>
          <w:tcPr>
            <w:tcW w:type="dxa" w:w="4392"/>
            <w:vAlign w:val="center"/>
            <w:tcMar>
              <w:top w:w="85" w:type="dxa"/>
              <w:left w:w="85" w:type="dxa"/>
              <w:bottom w:w="85" w:type="dxa"/>
              <w:right w:w="85" w:type="dxa"/>
            </w:tcMar>
            <w:shd w:fill="EDF2F5"/>
          </w:tcPr>
          <w:p>
            <w:pPr>
              <w:spacing w:after="40" w:before="20" w:line="252" w:lineRule="auto"/>
            </w:pPr>
            <w:r>
              <w:rPr>
                <w:sz w:val="18"/>
              </w:rPr>
              <w:t>Facture F-101 payée</w:t>
            </w:r>
          </w:p>
        </w:tc>
        <w:tc>
          <w:tcPr>
            <w:tcW w:type="dxa" w:w="1800"/>
            <w:vAlign w:val="center"/>
            <w:tcMar>
              <w:top w:w="85" w:type="dxa"/>
              <w:left w:w="85" w:type="dxa"/>
              <w:bottom w:w="85" w:type="dxa"/>
              <w:right w:w="85" w:type="dxa"/>
            </w:tcMar>
            <w:shd w:fill="EDF2F5"/>
          </w:tcPr>
          <w:p>
            <w:pPr>
              <w:spacing w:after="40" w:before="20" w:line="252" w:lineRule="auto"/>
            </w:pPr>
            <w:r>
              <w:rPr>
                <w:sz w:val="18"/>
              </w:rPr>
              <w:t>64 000 $</w:t>
            </w:r>
          </w:p>
        </w:tc>
        <w:tc>
          <w:tcPr>
            <w:tcW w:type="dxa" w:w="3960"/>
            <w:vAlign w:val="center"/>
            <w:tcMar>
              <w:top w:w="85" w:type="dxa"/>
              <w:left w:w="85" w:type="dxa"/>
              <w:bottom w:w="85" w:type="dxa"/>
              <w:right w:w="85" w:type="dxa"/>
            </w:tcMar>
            <w:shd w:fill="EDF2F5"/>
          </w:tcPr>
          <w:p>
            <w:pPr>
              <w:spacing w:after="40" w:before="20" w:line="252" w:lineRule="auto"/>
            </w:pPr>
            <w:r>
              <w:rPr>
                <w:sz w:val="18"/>
              </w:rPr>
              <w:t>Incluse dans le montant facturé et engagé</w:t>
            </w:r>
          </w:p>
        </w:tc>
      </w:tr>
      <w:tr>
        <w:trPr>
          <w:cantSplit/>
        </w:trPr>
        <w:tc>
          <w:tcPr>
            <w:tcW w:type="dxa" w:w="4392"/>
            <w:vAlign w:val="center"/>
            <w:tcMar>
              <w:top w:w="85" w:type="dxa"/>
              <w:left w:w="85" w:type="dxa"/>
              <w:bottom w:w="85" w:type="dxa"/>
              <w:right w:w="85" w:type="dxa"/>
            </w:tcMar>
          </w:tcPr>
          <w:p>
            <w:pPr>
              <w:spacing w:after="40" w:before="20" w:line="252" w:lineRule="auto"/>
            </w:pPr>
            <w:r>
              <w:rPr>
                <w:sz w:val="18"/>
              </w:rPr>
              <w:t>F-102 reçue, non payée</w:t>
            </w:r>
          </w:p>
        </w:tc>
        <w:tc>
          <w:tcPr>
            <w:tcW w:type="dxa" w:w="1800"/>
            <w:vAlign w:val="center"/>
            <w:tcMar>
              <w:top w:w="85" w:type="dxa"/>
              <w:left w:w="85" w:type="dxa"/>
              <w:bottom w:w="85" w:type="dxa"/>
              <w:right w:w="85" w:type="dxa"/>
            </w:tcMar>
          </w:tcPr>
          <w:p>
            <w:pPr>
              <w:spacing w:after="40" w:before="20" w:line="252" w:lineRule="auto"/>
            </w:pPr>
            <w:r>
              <w:rPr>
                <w:sz w:val="18"/>
              </w:rPr>
              <w:t>38 000 $</w:t>
            </w:r>
          </w:p>
        </w:tc>
        <w:tc>
          <w:tcPr>
            <w:tcW w:type="dxa" w:w="3960"/>
            <w:vAlign w:val="center"/>
            <w:tcMar>
              <w:top w:w="85" w:type="dxa"/>
              <w:left w:w="85" w:type="dxa"/>
              <w:bottom w:w="85" w:type="dxa"/>
              <w:right w:w="85" w:type="dxa"/>
            </w:tcMar>
          </w:tcPr>
          <w:p>
            <w:pPr>
              <w:spacing w:after="40" w:before="20" w:line="252" w:lineRule="auto"/>
            </w:pPr>
            <w:r>
              <w:rPr>
                <w:sz w:val="18"/>
              </w:rPr>
              <w:t>Une seule facture; renvoi exclu du calcul</w:t>
            </w:r>
          </w:p>
        </w:tc>
      </w:tr>
      <w:tr>
        <w:trPr>
          <w:cantSplit/>
        </w:trPr>
        <w:tc>
          <w:tcPr>
            <w:tcW w:type="dxa" w:w="4392"/>
            <w:vAlign w:val="center"/>
            <w:tcMar>
              <w:top w:w="85" w:type="dxa"/>
              <w:left w:w="85" w:type="dxa"/>
              <w:bottom w:w="85" w:type="dxa"/>
              <w:right w:w="85" w:type="dxa"/>
            </w:tcMar>
            <w:shd w:fill="EDF2F5"/>
          </w:tcPr>
          <w:p>
            <w:pPr>
              <w:spacing w:after="40" w:before="20" w:line="252" w:lineRule="auto"/>
            </w:pPr>
            <w:r>
              <w:rPr>
                <w:sz w:val="18"/>
              </w:rPr>
              <w:t>Engagé non encore facturé</w:t>
            </w:r>
          </w:p>
        </w:tc>
        <w:tc>
          <w:tcPr>
            <w:tcW w:type="dxa" w:w="1800"/>
            <w:vAlign w:val="center"/>
            <w:tcMar>
              <w:top w:w="85" w:type="dxa"/>
              <w:left w:w="85" w:type="dxa"/>
              <w:bottom w:w="85" w:type="dxa"/>
              <w:right w:w="85" w:type="dxa"/>
            </w:tcMar>
            <w:shd w:fill="EDF2F5"/>
          </w:tcPr>
          <w:p>
            <w:pPr>
              <w:spacing w:after="40" w:before="20" w:line="252" w:lineRule="auto"/>
            </w:pPr>
            <w:r>
              <w:rPr>
                <w:sz w:val="18"/>
              </w:rPr>
              <w:t>88 000 $</w:t>
            </w:r>
          </w:p>
        </w:tc>
        <w:tc>
          <w:tcPr>
            <w:tcW w:type="dxa" w:w="3960"/>
            <w:vAlign w:val="center"/>
            <w:tcMar>
              <w:top w:w="85" w:type="dxa"/>
              <w:left w:w="85" w:type="dxa"/>
              <w:bottom w:w="85" w:type="dxa"/>
              <w:right w:w="85" w:type="dxa"/>
            </w:tcMar>
            <w:shd w:fill="EDF2F5"/>
          </w:tcPr>
          <w:p>
            <w:pPr>
              <w:spacing w:after="40" w:before="20" w:line="252" w:lineRule="auto"/>
            </w:pPr>
            <w:r>
              <w:rPr>
                <w:sz w:val="18"/>
              </w:rPr>
              <w:t>190 000 $ − 102 000 $</w:t>
            </w:r>
          </w:p>
        </w:tc>
      </w:tr>
      <w:tr>
        <w:trPr>
          <w:cantSplit/>
        </w:trPr>
        <w:tc>
          <w:tcPr>
            <w:tcW w:type="dxa" w:w="4392"/>
            <w:vAlign w:val="center"/>
            <w:tcMar>
              <w:top w:w="85" w:type="dxa"/>
              <w:left w:w="85" w:type="dxa"/>
              <w:bottom w:w="85" w:type="dxa"/>
              <w:right w:w="85" w:type="dxa"/>
            </w:tcMar>
          </w:tcPr>
          <w:p>
            <w:pPr>
              <w:spacing w:after="40" w:before="20" w:line="252" w:lineRule="auto"/>
            </w:pPr>
            <w:r>
              <w:rPr>
                <w:sz w:val="18"/>
              </w:rPr>
              <w:t>Changement non autorisé</w:t>
            </w:r>
          </w:p>
        </w:tc>
        <w:tc>
          <w:tcPr>
            <w:tcW w:type="dxa" w:w="1800"/>
            <w:vAlign w:val="center"/>
            <w:tcMar>
              <w:top w:w="85" w:type="dxa"/>
              <w:left w:w="85" w:type="dxa"/>
              <w:bottom w:w="85" w:type="dxa"/>
              <w:right w:w="85" w:type="dxa"/>
            </w:tcMar>
          </w:tcPr>
          <w:p>
            <w:pPr>
              <w:spacing w:after="40" w:before="20" w:line="252" w:lineRule="auto"/>
            </w:pPr>
            <w:r>
              <w:rPr>
                <w:sz w:val="18"/>
              </w:rPr>
              <w:t>18 500 $</w:t>
            </w:r>
          </w:p>
        </w:tc>
        <w:tc>
          <w:tcPr>
            <w:tcW w:type="dxa" w:w="3960"/>
            <w:vAlign w:val="center"/>
            <w:tcMar>
              <w:top w:w="85" w:type="dxa"/>
              <w:left w:w="85" w:type="dxa"/>
              <w:bottom w:w="85" w:type="dxa"/>
              <w:right w:w="85" w:type="dxa"/>
            </w:tcMar>
          </w:tcPr>
          <w:p>
            <w:pPr>
              <w:spacing w:after="40" w:before="20" w:line="252" w:lineRule="auto"/>
            </w:pPr>
            <w:r>
              <w:rPr>
                <w:sz w:val="18"/>
              </w:rPr>
              <w:t>Prévision uniquement</w:t>
            </w:r>
          </w:p>
        </w:tc>
      </w:tr>
      <w:tr>
        <w:trPr>
          <w:cantSplit/>
        </w:trPr>
        <w:tc>
          <w:tcPr>
            <w:tcW w:type="dxa" w:w="4392"/>
            <w:vAlign w:val="center"/>
            <w:tcMar>
              <w:top w:w="85" w:type="dxa"/>
              <w:left w:w="85" w:type="dxa"/>
              <w:bottom w:w="85" w:type="dxa"/>
              <w:right w:w="85" w:type="dxa"/>
            </w:tcMar>
            <w:shd w:fill="EDF2F5"/>
          </w:tcPr>
          <w:p>
            <w:pPr>
              <w:spacing w:after="40" w:before="20" w:line="252" w:lineRule="auto"/>
            </w:pPr>
            <w:r>
              <w:rPr>
                <w:sz w:val="18"/>
              </w:rPr>
              <w:t>Marge si changement autorisé</w:t>
            </w:r>
          </w:p>
        </w:tc>
        <w:tc>
          <w:tcPr>
            <w:tcW w:type="dxa" w:w="1800"/>
            <w:vAlign w:val="center"/>
            <w:tcMar>
              <w:top w:w="85" w:type="dxa"/>
              <w:left w:w="85" w:type="dxa"/>
              <w:bottom w:w="85" w:type="dxa"/>
              <w:right w:w="85" w:type="dxa"/>
            </w:tcMar>
            <w:shd w:fill="EDF2F5"/>
          </w:tcPr>
          <w:p>
            <w:pPr>
              <w:spacing w:after="40" w:before="20" w:line="252" w:lineRule="auto"/>
            </w:pPr>
            <w:r>
              <w:rPr>
                <w:sz w:val="18"/>
              </w:rPr>
              <w:t>31 500 $</w:t>
            </w:r>
          </w:p>
        </w:tc>
        <w:tc>
          <w:tcPr>
            <w:tcW w:type="dxa" w:w="3960"/>
            <w:vAlign w:val="center"/>
            <w:tcMar>
              <w:top w:w="85" w:type="dxa"/>
              <w:left w:w="85" w:type="dxa"/>
              <w:bottom w:w="85" w:type="dxa"/>
              <w:right w:w="85" w:type="dxa"/>
            </w:tcMar>
            <w:shd w:fill="EDF2F5"/>
          </w:tcPr>
          <w:p>
            <w:pPr>
              <w:spacing w:after="40" w:before="20" w:line="252" w:lineRule="auto"/>
            </w:pPr>
            <w:r>
              <w:rPr>
                <w:sz w:val="18"/>
              </w:rPr>
              <w:t>240 000 $ − 208 500 $</w:t>
            </w:r>
          </w:p>
        </w:tc>
      </w:tr>
      <w:tr>
        <w:trPr>
          <w:cantSplit/>
        </w:trPr>
        <w:tc>
          <w:tcPr>
            <w:tcW w:type="dxa" w:w="4392"/>
            <w:vAlign w:val="center"/>
            <w:tcMar>
              <w:top w:w="85" w:type="dxa"/>
              <w:left w:w="85" w:type="dxa"/>
              <w:bottom w:w="85" w:type="dxa"/>
              <w:right w:w="85" w:type="dxa"/>
            </w:tcMar>
          </w:tcPr>
          <w:p>
            <w:pPr>
              <w:spacing w:after="40" w:before="20" w:line="252" w:lineRule="auto"/>
            </w:pPr>
            <w:r>
              <w:rPr>
                <w:sz w:val="18"/>
              </w:rPr>
              <w:t>TOTAL DU BUDGET</w:t>
            </w:r>
          </w:p>
        </w:tc>
        <w:tc>
          <w:tcPr>
            <w:tcW w:type="dxa" w:w="1800"/>
            <w:vAlign w:val="center"/>
            <w:tcMar>
              <w:top w:w="85" w:type="dxa"/>
              <w:left w:w="85" w:type="dxa"/>
              <w:bottom w:w="85" w:type="dxa"/>
              <w:right w:w="85" w:type="dxa"/>
            </w:tcMar>
          </w:tcPr>
          <w:p>
            <w:pPr>
              <w:spacing w:after="40" w:before="20" w:line="252" w:lineRule="auto"/>
            </w:pPr>
            <w:r>
              <w:rPr>
                <w:sz w:val="18"/>
              </w:rPr>
              <w:t>240 000 $</w:t>
            </w:r>
          </w:p>
        </w:tc>
        <w:tc>
          <w:tcPr>
            <w:tcW w:type="dxa" w:w="3960"/>
            <w:vAlign w:val="center"/>
            <w:tcMar>
              <w:top w:w="85" w:type="dxa"/>
              <w:left w:w="85" w:type="dxa"/>
              <w:bottom w:w="85" w:type="dxa"/>
              <w:right w:w="85" w:type="dxa"/>
            </w:tcMar>
          </w:tcPr>
          <w:p>
            <w:pPr>
              <w:spacing w:after="40" w:before="20" w:line="252" w:lineRule="auto"/>
            </w:pPr>
            <w:r>
              <w:rPr>
                <w:sz w:val="18"/>
              </w:rPr>
              <w:t>Somme des cinq composantes distinctes</w:t>
            </w:r>
          </w:p>
        </w:tc>
      </w:tr>
    </w:tbl>
    <w:p>
      <w:pPr>
        <w:spacing w:after="0"/>
      </w:pPr>
    </w:p>
    <w:p>
      <w:pPr>
        <w:pStyle w:val="Heading2"/>
      </w:pPr>
      <w:r>
        <w:t>Rapprochements</w:t>
      </w:r>
    </w:p>
    <w:p>
      <w:r>
        <w:rPr>
          <w:b w:val="0"/>
        </w:rPr>
        <w:t>Engagement décrit : 178 000 $ de contrat + 12 000 $ d’avenant signé = 190 000 $. Factures uniques : 64 000 $ + 38 000 $ = 102 000 $. Reste engagé non facturé : 88 000 $. Reste engagé non payé : 190 000 $ − 64 000 $ = 126 000 $.</w:t>
      </w:r>
    </w:p>
    <w:p>
      <w:r>
        <w:rPr>
          <w:b w:val="0"/>
        </w:rPr>
        <w:t>Prévision incluant le changement : 190 000 $ + 18 500 $ = 208 500 $. Marge sur engagement actuel : 50 000 $. Marge sur prévision : 31 500 $. Ces deux marges ne représentent pas deux réserves cumulables.</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Double comptage évité</w:t>
              <w:br/>
            </w:r>
            <w:r>
              <w:rPr>
                <w:sz w:val="20"/>
              </w:rPr>
              <w:t>Ajouter le renvoi de F-102 porterait artificiellement le total facturé de 102 000 $ à 140 000 $, soit 38 000 $ de trop. Le classeur conserve la transmission comme trace mais l’exclut du total.</w:t>
            </w:r>
          </w:p>
        </w:tc>
      </w:tr>
    </w:tbl>
    <w:p>
      <w:pPr>
        <w:spacing w:after="0"/>
      </w:pPr>
    </w:p>
    <w:p>
      <w:pPr>
        <w:pStyle w:val="Heading2"/>
      </w:pPr>
      <w:r>
        <w:t>Limites du calcul</w:t>
      </w:r>
    </w:p>
    <w:p>
      <w:r>
        <w:rPr>
          <w:b w:val="0"/>
        </w:rPr>
        <w:t>Taxes, frais internes et risques non chiffrés sont exclus. Un montant reçu n’est pas réputé validé ou payable. La prévision ne vaut ni accord de changement ni preuve de disponibilité de trésorerie.</w:t>
      </w:r>
    </w:p>
    <w:p>
      <w:r>
        <w:br w:type="page"/>
      </w:r>
    </w:p>
    <w:p>
      <w:pPr>
        <w:spacing w:after="180"/>
      </w:pPr>
      <w:r>
        <w:rPr>
          <w:b/>
          <w:color w:val="496679"/>
          <w:sz w:val="17"/>
        </w:rPr>
        <w:t>03 · ACTIONS ET RESPONSABILITÉS</w:t>
      </w:r>
    </w:p>
    <w:p>
      <w:pPr>
        <w:pStyle w:val="Title"/>
      </w:pPr>
      <w:r>
        <w:t>Faire avancer le dossier par des validations.</w:t>
      </w:r>
    </w:p>
    <w:p>
      <w:r>
        <w:rPr>
          <w:b w:val="0"/>
        </w:rPr>
        <w:t>Les échéances du 20 au 23 octobre sont des propositions de l’analyse d’origine. Les rôles sont indicatifs; aucune personne n’est réputée engagée.</w:t>
      </w:r>
    </w:p>
    <w:tbl>
      <w:tblPr>
        <w:tblW w:type="auto" w:w="0"/>
        <w:jc w:val="center"/>
        <w:tblLayout w:type="fixed"/>
        <w:tblLook w:firstColumn="1" w:firstRow="1" w:lastColumn="0" w:lastRow="0" w:noHBand="0" w:noVBand="1" w:val="04A0"/>
      </w:tblPr>
      <w:tblGrid>
        <w:gridCol w:w="3456"/>
        <w:gridCol w:w="2448"/>
        <w:gridCol w:w="4248"/>
      </w:tblGrid>
      <w:tr>
        <w:trPr>
          <w:tblHeader/>
        </w:trPr>
        <w:tc>
          <w:tcPr>
            <w:tcW w:type="dxa" w:w="3456"/>
            <w:shd w:fill="172D3D"/>
            <w:tcMar>
              <w:top w:w="85" w:type="dxa"/>
              <w:left w:w="85" w:type="dxa"/>
              <w:bottom w:w="85" w:type="dxa"/>
              <w:right w:w="85" w:type="dxa"/>
            </w:tcMar>
          </w:tcPr>
          <w:p>
            <w:r>
              <w:rPr>
                <w:b/>
                <w:color w:val="FFFFFF"/>
                <w:sz w:val="18"/>
              </w:rPr>
              <w:t>Action</w:t>
            </w:r>
          </w:p>
        </w:tc>
        <w:tc>
          <w:tcPr>
            <w:tcW w:type="dxa" w:w="2448"/>
            <w:shd w:fill="172D3D"/>
            <w:tcMar>
              <w:top w:w="85" w:type="dxa"/>
              <w:left w:w="85" w:type="dxa"/>
              <w:bottom w:w="85" w:type="dxa"/>
              <w:right w:w="85" w:type="dxa"/>
            </w:tcMar>
          </w:tcPr>
          <w:p>
            <w:r>
              <w:rPr>
                <w:b/>
                <w:color w:val="FFFFFF"/>
                <w:sz w:val="18"/>
              </w:rPr>
              <w:t>Responsable proposé</w:t>
            </w:r>
          </w:p>
        </w:tc>
        <w:tc>
          <w:tcPr>
            <w:tcW w:type="dxa" w:w="4248"/>
            <w:shd w:fill="172D3D"/>
            <w:tcMar>
              <w:top w:w="85" w:type="dxa"/>
              <w:left w:w="85" w:type="dxa"/>
              <w:bottom w:w="85" w:type="dxa"/>
              <w:right w:w="85" w:type="dxa"/>
            </w:tcMar>
          </w:tcPr>
          <w:p>
            <w:r>
              <w:rPr>
                <w:b/>
                <w:color w:val="FFFFFF"/>
                <w:sz w:val="18"/>
              </w:rPr>
              <w:t>Sortie attendue</w:t>
            </w:r>
          </w:p>
        </w:tc>
      </w:tr>
      <w:tr>
        <w:trPr>
          <w:cantSplit/>
        </w:trPr>
        <w:tc>
          <w:tcPr>
            <w:tcW w:type="dxa" w:w="3456"/>
            <w:vAlign w:val="center"/>
            <w:tcMar>
              <w:top w:w="85" w:type="dxa"/>
              <w:left w:w="85" w:type="dxa"/>
              <w:bottom w:w="85" w:type="dxa"/>
              <w:right w:w="85" w:type="dxa"/>
            </w:tcMar>
            <w:shd w:fill="EDF2F5"/>
          </w:tcPr>
          <w:p>
            <w:pPr>
              <w:spacing w:after="40" w:before="20" w:line="252" w:lineRule="auto"/>
            </w:pPr>
            <w:r>
              <w:rPr>
                <w:sz w:val="18"/>
              </w:rPr>
              <w:t>1. Relier F-102 à son renvoi</w:t>
            </w:r>
          </w:p>
        </w:tc>
        <w:tc>
          <w:tcPr>
            <w:tcW w:type="dxa" w:w="2448"/>
            <w:vAlign w:val="center"/>
            <w:tcMar>
              <w:top w:w="85" w:type="dxa"/>
              <w:left w:w="85" w:type="dxa"/>
              <w:bottom w:w="85" w:type="dxa"/>
              <w:right w:w="85" w:type="dxa"/>
            </w:tcMar>
            <w:shd w:fill="EDF2F5"/>
          </w:tcPr>
          <w:p>
            <w:pPr>
              <w:spacing w:after="40" w:before="20" w:line="252" w:lineRule="auto"/>
            </w:pPr>
            <w:r>
              <w:rPr>
                <w:sz w:val="18"/>
              </w:rPr>
              <w:t>Responsable financier</w:t>
            </w:r>
          </w:p>
        </w:tc>
        <w:tc>
          <w:tcPr>
            <w:tcW w:type="dxa" w:w="4248"/>
            <w:vAlign w:val="center"/>
            <w:tcMar>
              <w:top w:w="85" w:type="dxa"/>
              <w:left w:w="85" w:type="dxa"/>
              <w:bottom w:w="85" w:type="dxa"/>
              <w:right w:w="85" w:type="dxa"/>
            </w:tcMar>
            <w:shd w:fill="EDF2F5"/>
          </w:tcPr>
          <w:p>
            <w:pPr>
              <w:spacing w:after="40" w:before="20" w:line="252" w:lineRule="auto"/>
            </w:pPr>
            <w:r>
              <w:rPr>
                <w:sz w:val="18"/>
              </w:rPr>
              <w:t>Facture unique identifiée; doublon conservé comme transmission</w:t>
            </w:r>
          </w:p>
        </w:tc>
      </w:tr>
      <w:tr>
        <w:trPr>
          <w:cantSplit/>
        </w:trPr>
        <w:tc>
          <w:tcPr>
            <w:tcW w:type="dxa" w:w="3456"/>
            <w:vAlign w:val="center"/>
            <w:tcMar>
              <w:top w:w="85" w:type="dxa"/>
              <w:left w:w="85" w:type="dxa"/>
              <w:bottom w:w="85" w:type="dxa"/>
              <w:right w:w="85" w:type="dxa"/>
            </w:tcMar>
          </w:tcPr>
          <w:p>
            <w:pPr>
              <w:spacing w:after="40" w:before="20" w:line="252" w:lineRule="auto"/>
            </w:pPr>
            <w:r>
              <w:rPr>
                <w:sz w:val="18"/>
              </w:rPr>
              <w:t>2. Valider portée et prix</w:t>
            </w:r>
          </w:p>
        </w:tc>
        <w:tc>
          <w:tcPr>
            <w:tcW w:type="dxa" w:w="2448"/>
            <w:vAlign w:val="center"/>
            <w:tcMar>
              <w:top w:w="85" w:type="dxa"/>
              <w:left w:w="85" w:type="dxa"/>
              <w:bottom w:w="85" w:type="dxa"/>
              <w:right w:w="85" w:type="dxa"/>
            </w:tcMar>
          </w:tcPr>
          <w:p>
            <w:pPr>
              <w:spacing w:after="40" w:before="20" w:line="252" w:lineRule="auto"/>
            </w:pPr>
            <w:r>
              <w:rPr>
                <w:sz w:val="18"/>
              </w:rPr>
              <w:t>Projet + responsable technique</w:t>
            </w:r>
          </w:p>
        </w:tc>
        <w:tc>
          <w:tcPr>
            <w:tcW w:type="dxa" w:w="4248"/>
            <w:vAlign w:val="center"/>
            <w:tcMar>
              <w:top w:w="85" w:type="dxa"/>
              <w:left w:w="85" w:type="dxa"/>
              <w:bottom w:w="85" w:type="dxa"/>
              <w:right w:w="85" w:type="dxa"/>
            </w:tcMar>
          </w:tcPr>
          <w:p>
            <w:pPr>
              <w:spacing w:after="40" w:before="20" w:line="252" w:lineRule="auto"/>
            </w:pPr>
            <w:r>
              <w:rPr>
                <w:sz w:val="18"/>
              </w:rPr>
              <w:t>Version du changement examinée; réserves consignées</w:t>
            </w:r>
          </w:p>
        </w:tc>
      </w:tr>
      <w:tr>
        <w:trPr>
          <w:cantSplit/>
        </w:trPr>
        <w:tc>
          <w:tcPr>
            <w:tcW w:type="dxa" w:w="3456"/>
            <w:vAlign w:val="center"/>
            <w:tcMar>
              <w:top w:w="85" w:type="dxa"/>
              <w:left w:w="85" w:type="dxa"/>
              <w:bottom w:w="85" w:type="dxa"/>
              <w:right w:w="85" w:type="dxa"/>
            </w:tcMar>
            <w:shd w:fill="EDF2F5"/>
          </w:tcPr>
          <w:p>
            <w:pPr>
              <w:spacing w:after="40" w:before="20" w:line="252" w:lineRule="auto"/>
            </w:pPr>
            <w:r>
              <w:rPr>
                <w:sz w:val="18"/>
              </w:rPr>
              <w:t>3. Décider du changement</w:t>
            </w:r>
          </w:p>
        </w:tc>
        <w:tc>
          <w:tcPr>
            <w:tcW w:type="dxa" w:w="2448"/>
            <w:vAlign w:val="center"/>
            <w:tcMar>
              <w:top w:w="85" w:type="dxa"/>
              <w:left w:w="85" w:type="dxa"/>
              <w:bottom w:w="85" w:type="dxa"/>
              <w:right w:w="85" w:type="dxa"/>
            </w:tcMar>
            <w:shd w:fill="EDF2F5"/>
          </w:tcPr>
          <w:p>
            <w:pPr>
              <w:spacing w:after="40" w:before="20" w:line="252" w:lineRule="auto"/>
            </w:pPr>
            <w:r>
              <w:rPr>
                <w:sz w:val="18"/>
              </w:rPr>
              <w:t>Autorité compétente</w:t>
            </w:r>
          </w:p>
        </w:tc>
        <w:tc>
          <w:tcPr>
            <w:tcW w:type="dxa" w:w="4248"/>
            <w:vAlign w:val="center"/>
            <w:tcMar>
              <w:top w:w="85" w:type="dxa"/>
              <w:left w:w="85" w:type="dxa"/>
              <w:bottom w:w="85" w:type="dxa"/>
              <w:right w:w="85" w:type="dxa"/>
            </w:tcMar>
            <w:shd w:fill="EDF2F5"/>
          </w:tcPr>
          <w:p>
            <w:pPr>
              <w:spacing w:after="40" w:before="20" w:line="252" w:lineRule="auto"/>
            </w:pPr>
            <w:r>
              <w:rPr>
                <w:sz w:val="18"/>
              </w:rPr>
              <w:t>Autorisation ou refus écrit de 18 500 $</w:t>
            </w:r>
          </w:p>
        </w:tc>
      </w:tr>
      <w:tr>
        <w:trPr>
          <w:cantSplit/>
        </w:trPr>
        <w:tc>
          <w:tcPr>
            <w:tcW w:type="dxa" w:w="3456"/>
            <w:vAlign w:val="center"/>
            <w:tcMar>
              <w:top w:w="85" w:type="dxa"/>
              <w:left w:w="85" w:type="dxa"/>
              <w:bottom w:w="85" w:type="dxa"/>
              <w:right w:w="85" w:type="dxa"/>
            </w:tcMar>
          </w:tcPr>
          <w:p>
            <w:pPr>
              <w:spacing w:after="40" w:before="20" w:line="252" w:lineRule="auto"/>
            </w:pPr>
            <w:r>
              <w:rPr>
                <w:sz w:val="18"/>
              </w:rPr>
              <w:t>4. Confirmer la séquence</w:t>
            </w:r>
          </w:p>
        </w:tc>
        <w:tc>
          <w:tcPr>
            <w:tcW w:type="dxa" w:w="2448"/>
            <w:vAlign w:val="center"/>
            <w:tcMar>
              <w:top w:w="85" w:type="dxa"/>
              <w:left w:w="85" w:type="dxa"/>
              <w:bottom w:w="85" w:type="dxa"/>
              <w:right w:w="85" w:type="dxa"/>
            </w:tcMar>
          </w:tcPr>
          <w:p>
            <w:pPr>
              <w:spacing w:after="40" w:before="20" w:line="252" w:lineRule="auto"/>
            </w:pPr>
            <w:r>
              <w:rPr>
                <w:sz w:val="18"/>
              </w:rPr>
              <w:t>Responsable technique</w:t>
            </w:r>
          </w:p>
        </w:tc>
        <w:tc>
          <w:tcPr>
            <w:tcW w:type="dxa" w:w="4248"/>
            <w:vAlign w:val="center"/>
            <w:tcMar>
              <w:top w:w="85" w:type="dxa"/>
              <w:left w:w="85" w:type="dxa"/>
              <w:bottom w:w="85" w:type="dxa"/>
              <w:right w:w="85" w:type="dxa"/>
            </w:tcMar>
          </w:tcPr>
          <w:p>
            <w:pPr>
              <w:spacing w:after="40" w:before="20" w:line="252" w:lineRule="auto"/>
            </w:pPr>
            <w:r>
              <w:rPr>
                <w:sz w:val="18"/>
              </w:rPr>
              <w:t>Durée, disponibilité et réception confirmées</w:t>
            </w:r>
          </w:p>
        </w:tc>
      </w:tr>
      <w:tr>
        <w:trPr>
          <w:cantSplit/>
        </w:trPr>
        <w:tc>
          <w:tcPr>
            <w:tcW w:type="dxa" w:w="3456"/>
            <w:vAlign w:val="center"/>
            <w:tcMar>
              <w:top w:w="85" w:type="dxa"/>
              <w:left w:w="85" w:type="dxa"/>
              <w:bottom w:w="85" w:type="dxa"/>
              <w:right w:w="85" w:type="dxa"/>
            </w:tcMar>
            <w:shd w:fill="EDF2F5"/>
          </w:tcPr>
          <w:p>
            <w:pPr>
              <w:spacing w:after="40" w:before="20" w:line="252" w:lineRule="auto"/>
            </w:pPr>
            <w:r>
              <w:rPr>
                <w:sz w:val="18"/>
              </w:rPr>
              <w:t>5. Mettre à jour le suivi</w:t>
            </w:r>
          </w:p>
        </w:tc>
        <w:tc>
          <w:tcPr>
            <w:tcW w:type="dxa" w:w="2448"/>
            <w:vAlign w:val="center"/>
            <w:tcMar>
              <w:top w:w="85" w:type="dxa"/>
              <w:left w:w="85" w:type="dxa"/>
              <w:bottom w:w="85" w:type="dxa"/>
              <w:right w:w="85" w:type="dxa"/>
            </w:tcMar>
            <w:shd w:fill="EDF2F5"/>
          </w:tcPr>
          <w:p>
            <w:pPr>
              <w:spacing w:after="40" w:before="20" w:line="252" w:lineRule="auto"/>
            </w:pPr>
            <w:r>
              <w:rPr>
                <w:sz w:val="18"/>
              </w:rPr>
              <w:t>Coordination administrative</w:t>
            </w:r>
          </w:p>
        </w:tc>
        <w:tc>
          <w:tcPr>
            <w:tcW w:type="dxa" w:w="4248"/>
            <w:vAlign w:val="center"/>
            <w:tcMar>
              <w:top w:w="85" w:type="dxa"/>
              <w:left w:w="85" w:type="dxa"/>
              <w:bottom w:w="85" w:type="dxa"/>
              <w:right w:w="85" w:type="dxa"/>
            </w:tcMar>
            <w:shd w:fill="EDF2F5"/>
          </w:tcPr>
          <w:p>
            <w:pPr>
              <w:spacing w:after="40" w:before="20" w:line="252" w:lineRule="auto"/>
            </w:pPr>
            <w:r>
              <w:rPr>
                <w:sz w:val="18"/>
              </w:rPr>
              <w:t>Registre des engagements et jalons actualisé</w:t>
            </w:r>
          </w:p>
        </w:tc>
      </w:tr>
      <w:tr>
        <w:trPr>
          <w:cantSplit/>
        </w:trPr>
        <w:tc>
          <w:tcPr>
            <w:tcW w:type="dxa" w:w="3456"/>
            <w:vAlign w:val="center"/>
            <w:tcMar>
              <w:top w:w="85" w:type="dxa"/>
              <w:left w:w="85" w:type="dxa"/>
              <w:bottom w:w="85" w:type="dxa"/>
              <w:right w:w="85" w:type="dxa"/>
            </w:tcMar>
          </w:tcPr>
          <w:p>
            <w:pPr>
              <w:spacing w:after="40" w:before="20" w:line="252" w:lineRule="auto"/>
            </w:pPr>
            <w:r>
              <w:rPr>
                <w:sz w:val="18"/>
              </w:rPr>
              <w:t>6. Vérifier la fin de travaux</w:t>
            </w:r>
          </w:p>
        </w:tc>
        <w:tc>
          <w:tcPr>
            <w:tcW w:type="dxa" w:w="2448"/>
            <w:vAlign w:val="center"/>
            <w:tcMar>
              <w:top w:w="85" w:type="dxa"/>
              <w:left w:w="85" w:type="dxa"/>
              <w:bottom w:w="85" w:type="dxa"/>
              <w:right w:w="85" w:type="dxa"/>
            </w:tcMar>
          </w:tcPr>
          <w:p>
            <w:pPr>
              <w:spacing w:after="40" w:before="20" w:line="252" w:lineRule="auto"/>
            </w:pPr>
            <w:r>
              <w:rPr>
                <w:sz w:val="18"/>
              </w:rPr>
              <w:t>Responsables habilités</w:t>
            </w:r>
          </w:p>
        </w:tc>
        <w:tc>
          <w:tcPr>
            <w:tcW w:type="dxa" w:w="4248"/>
            <w:vAlign w:val="center"/>
            <w:tcMar>
              <w:top w:w="85" w:type="dxa"/>
              <w:left w:w="85" w:type="dxa"/>
              <w:bottom w:w="85" w:type="dxa"/>
              <w:right w:w="85" w:type="dxa"/>
            </w:tcMar>
          </w:tcPr>
          <w:p>
            <w:pPr>
              <w:spacing w:after="40" w:before="20" w:line="252" w:lineRule="auto"/>
            </w:pPr>
            <w:r>
              <w:rPr>
                <w:sz w:val="18"/>
              </w:rPr>
              <w:t>Réception et réserves documentées</w:t>
            </w:r>
          </w:p>
        </w:tc>
      </w:tr>
      <w:tr>
        <w:trPr>
          <w:cantSplit/>
        </w:trPr>
        <w:tc>
          <w:tcPr>
            <w:tcW w:type="dxa" w:w="3456"/>
            <w:vAlign w:val="center"/>
            <w:tcMar>
              <w:top w:w="85" w:type="dxa"/>
              <w:left w:w="85" w:type="dxa"/>
              <w:bottom w:w="85" w:type="dxa"/>
              <w:right w:w="85" w:type="dxa"/>
            </w:tcMar>
            <w:shd w:fill="EDF2F5"/>
          </w:tcPr>
          <w:p>
            <w:pPr>
              <w:spacing w:after="40" w:before="20" w:line="252" w:lineRule="auto"/>
            </w:pPr>
            <w:r>
              <w:rPr>
                <w:sz w:val="18"/>
              </w:rPr>
              <w:t>7. Autoriser la communication</w:t>
            </w:r>
          </w:p>
        </w:tc>
        <w:tc>
          <w:tcPr>
            <w:tcW w:type="dxa" w:w="2448"/>
            <w:vAlign w:val="center"/>
            <w:tcMar>
              <w:top w:w="85" w:type="dxa"/>
              <w:left w:w="85" w:type="dxa"/>
              <w:bottom w:w="85" w:type="dxa"/>
              <w:right w:w="85" w:type="dxa"/>
            </w:tcMar>
            <w:shd w:fill="EDF2F5"/>
          </w:tcPr>
          <w:p>
            <w:pPr>
              <w:spacing w:after="40" w:before="20" w:line="252" w:lineRule="auto"/>
            </w:pPr>
            <w:r>
              <w:rPr>
                <w:sz w:val="18"/>
              </w:rPr>
              <w:t>Direction</w:t>
            </w:r>
          </w:p>
        </w:tc>
        <w:tc>
          <w:tcPr>
            <w:tcW w:type="dxa" w:w="4248"/>
            <w:vAlign w:val="center"/>
            <w:tcMar>
              <w:top w:w="85" w:type="dxa"/>
              <w:left w:w="85" w:type="dxa"/>
              <w:bottom w:w="85" w:type="dxa"/>
              <w:right w:w="85" w:type="dxa"/>
            </w:tcMar>
            <w:shd w:fill="EDF2F5"/>
          </w:tcPr>
          <w:p>
            <w:pPr>
              <w:spacing w:after="40" w:before="20" w:line="252" w:lineRule="auto"/>
            </w:pPr>
            <w:r>
              <w:rPr>
                <w:sz w:val="18"/>
              </w:rPr>
              <w:t>Date d’ouverture validée; message approuvé</w:t>
            </w:r>
          </w:p>
        </w:tc>
      </w:tr>
    </w:tbl>
    <w:p>
      <w:pPr>
        <w:spacing w:after="0"/>
      </w:pPr>
    </w:p>
    <w:p>
      <w:pPr>
        <w:pStyle w:val="Heading2"/>
      </w:pPr>
      <w:r>
        <w:t>Registre minimal de décision</w:t>
      </w:r>
    </w:p>
    <w:p>
      <w:r>
        <w:rPr>
          <w:b w:val="0"/>
        </w:rPr>
        <w:t>Pour chaque décision : objet, montant ou effet, pièce de référence, décideur habilité, statut, date et preuve de validation. La coordination relance et consigne; elle n’engage pas l’organisation à la place de son responsable.</w:t>
      </w:r>
    </w:p>
    <w:p>
      <w:pPr>
        <w:pStyle w:val="Heading2"/>
      </w:pPr>
      <w:r>
        <w:t>Points à présenter au prochain suivi</w:t>
      </w:r>
    </w:p>
    <w:p>
      <w:r>
        <w:rPr>
          <w:b w:val="0"/>
        </w:rPr>
        <w:t>Le changement demeure-t-il nécessaire? Sa portée est-elle validée? Quel est son effet sur la durée? Les intervenants sont-ils disponibles pour la réception? Quel message doit rester en attente?</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En cas de refus du changement</w:t>
              <w:br/>
            </w:r>
            <w:r>
              <w:rPr>
                <w:sz w:val="20"/>
              </w:rPr>
              <w:t>Ne pas maintenir automatiquement le même calendrier. Faire confirmer le périmètre initial et les travaux restants; mettre à jour le suivi avant de proposer une autre date d’ouverture.</w:t>
            </w:r>
          </w:p>
        </w:tc>
      </w:tr>
    </w:tbl>
    <w:p>
      <w:pPr>
        <w:spacing w:after="0"/>
      </w:pPr>
    </w:p>
    <w:p>
      <w:r>
        <w:br w:type="page"/>
      </w:r>
    </w:p>
    <w:p>
      <w:pPr>
        <w:spacing w:after="180"/>
      </w:pPr>
      <w:r>
        <w:rPr>
          <w:b/>
          <w:color w:val="496679"/>
          <w:sz w:val="17"/>
        </w:rPr>
        <w:t>04 · CALENDRIER CONDITIONNEL</w:t>
      </w:r>
    </w:p>
    <w:p>
      <w:pPr>
        <w:pStyle w:val="Title"/>
      </w:pPr>
      <w:r>
        <w:t>L’ouverture suit la réception.</w:t>
      </w:r>
    </w:p>
    <w:p>
      <w:r>
        <w:rPr>
          <w:b w:val="0"/>
        </w:rPr>
        <w:t>Hypothèse de calcul seulement : confirmation le 23 octobre 2026; jours travaillés du lundi au vendredi, sans congé, interruption ni délai supplémentaire.</w:t>
      </w:r>
    </w:p>
    <w:tbl>
      <w:tblPr>
        <w:tblW w:type="auto" w:w="0"/>
        <w:jc w:val="center"/>
        <w:tblLayout w:type="fixed"/>
        <w:tblLook w:firstColumn="1" w:firstRow="1" w:lastColumn="0" w:lastRow="0" w:noHBand="0" w:noVBand="1" w:val="04A0"/>
      </w:tblPr>
      <w:tblGrid>
        <w:gridCol w:w="2232"/>
        <w:gridCol w:w="4176"/>
        <w:gridCol w:w="3744"/>
      </w:tblGrid>
      <w:tr>
        <w:trPr>
          <w:tblHeader/>
        </w:trPr>
        <w:tc>
          <w:tcPr>
            <w:tcW w:type="dxa" w:w="2232"/>
            <w:shd w:fill="172D3D"/>
            <w:tcMar>
              <w:top w:w="85" w:type="dxa"/>
              <w:left w:w="85" w:type="dxa"/>
              <w:bottom w:w="85" w:type="dxa"/>
              <w:right w:w="85" w:type="dxa"/>
            </w:tcMar>
          </w:tcPr>
          <w:p>
            <w:r>
              <w:rPr>
                <w:b/>
                <w:color w:val="FFFFFF"/>
                <w:sz w:val="18"/>
              </w:rPr>
              <w:t>Étape</w:t>
            </w:r>
          </w:p>
        </w:tc>
        <w:tc>
          <w:tcPr>
            <w:tcW w:type="dxa" w:w="4176"/>
            <w:shd w:fill="172D3D"/>
            <w:tcMar>
              <w:top w:w="85" w:type="dxa"/>
              <w:left w:w="85" w:type="dxa"/>
              <w:bottom w:w="85" w:type="dxa"/>
              <w:right w:w="85" w:type="dxa"/>
            </w:tcMar>
          </w:tcPr>
          <w:p>
            <w:r>
              <w:rPr>
                <w:b/>
                <w:color w:val="FFFFFF"/>
                <w:sz w:val="18"/>
              </w:rPr>
              <w:t>Calcul de démonstration</w:t>
            </w:r>
          </w:p>
        </w:tc>
        <w:tc>
          <w:tcPr>
            <w:tcW w:type="dxa" w:w="3744"/>
            <w:shd w:fill="172D3D"/>
            <w:tcMar>
              <w:top w:w="85" w:type="dxa"/>
              <w:left w:w="85" w:type="dxa"/>
              <w:bottom w:w="85" w:type="dxa"/>
              <w:right w:w="85" w:type="dxa"/>
            </w:tcMar>
          </w:tcPr>
          <w:p>
            <w:r>
              <w:rPr>
                <w:b/>
                <w:color w:val="FFFFFF"/>
                <w:sz w:val="18"/>
              </w:rPr>
              <w:t>Dates résultantes</w:t>
            </w:r>
          </w:p>
        </w:tc>
      </w:tr>
      <w:tr>
        <w:trPr>
          <w:cantSplit/>
        </w:trPr>
        <w:tc>
          <w:tcPr>
            <w:tcW w:type="dxa" w:w="2232"/>
            <w:vAlign w:val="center"/>
            <w:tcMar>
              <w:top w:w="85" w:type="dxa"/>
              <w:left w:w="85" w:type="dxa"/>
              <w:bottom w:w="85" w:type="dxa"/>
              <w:right w:w="85" w:type="dxa"/>
            </w:tcMar>
            <w:shd w:fill="EDF2F5"/>
          </w:tcPr>
          <w:p>
            <w:pPr>
              <w:spacing w:after="40" w:before="20" w:line="252" w:lineRule="auto"/>
            </w:pPr>
            <w:r>
              <w:rPr>
                <w:sz w:val="18"/>
              </w:rPr>
              <w:t>Confirmation</w:t>
            </w:r>
          </w:p>
        </w:tc>
        <w:tc>
          <w:tcPr>
            <w:tcW w:type="dxa" w:w="4176"/>
            <w:vAlign w:val="center"/>
            <w:tcMar>
              <w:top w:w="85" w:type="dxa"/>
              <w:left w:w="85" w:type="dxa"/>
              <w:bottom w:w="85" w:type="dxa"/>
              <w:right w:w="85" w:type="dxa"/>
            </w:tcMar>
            <w:shd w:fill="EDF2F5"/>
          </w:tcPr>
          <w:p>
            <w:pPr>
              <w:spacing w:after="40" w:before="20" w:line="252" w:lineRule="auto"/>
            </w:pPr>
            <w:r>
              <w:rPr>
                <w:sz w:val="18"/>
              </w:rPr>
              <w:t>Hypothèse d’entrée, non reçue</w:t>
            </w:r>
          </w:p>
        </w:tc>
        <w:tc>
          <w:tcPr>
            <w:tcW w:type="dxa" w:w="3744"/>
            <w:vAlign w:val="center"/>
            <w:tcMar>
              <w:top w:w="85" w:type="dxa"/>
              <w:left w:w="85" w:type="dxa"/>
              <w:bottom w:w="85" w:type="dxa"/>
              <w:right w:w="85" w:type="dxa"/>
            </w:tcMar>
            <w:shd w:fill="EDF2F5"/>
          </w:tcPr>
          <w:p>
            <w:pPr>
              <w:spacing w:after="40" w:before="20" w:line="252" w:lineRule="auto"/>
            </w:pPr>
            <w:r>
              <w:rPr>
                <w:sz w:val="18"/>
              </w:rPr>
              <w:t>Vendredi 23 octobre</w:t>
            </w:r>
          </w:p>
        </w:tc>
      </w:tr>
      <w:tr>
        <w:trPr>
          <w:cantSplit/>
        </w:trPr>
        <w:tc>
          <w:tcPr>
            <w:tcW w:type="dxa" w:w="2232"/>
            <w:vAlign w:val="center"/>
            <w:tcMar>
              <w:top w:w="85" w:type="dxa"/>
              <w:left w:w="85" w:type="dxa"/>
              <w:bottom w:w="85" w:type="dxa"/>
              <w:right w:w="85" w:type="dxa"/>
            </w:tcMar>
          </w:tcPr>
          <w:p>
            <w:pPr>
              <w:spacing w:after="40" w:before="20" w:line="252" w:lineRule="auto"/>
            </w:pPr>
            <w:r>
              <w:rPr>
                <w:sz w:val="18"/>
              </w:rPr>
              <w:t>Travaux restants</w:t>
            </w:r>
          </w:p>
        </w:tc>
        <w:tc>
          <w:tcPr>
            <w:tcW w:type="dxa" w:w="4176"/>
            <w:vAlign w:val="center"/>
            <w:tcMar>
              <w:top w:w="85" w:type="dxa"/>
              <w:left w:w="85" w:type="dxa"/>
              <w:bottom w:w="85" w:type="dxa"/>
              <w:right w:w="85" w:type="dxa"/>
            </w:tcMar>
          </w:tcPr>
          <w:p>
            <w:pPr>
              <w:spacing w:after="40" w:before="20" w:line="252" w:lineRule="auto"/>
            </w:pPr>
            <w:r>
              <w:rPr>
                <w:sz w:val="18"/>
              </w:rPr>
              <w:t>10 jours ouvrés après confirmation</w:t>
            </w:r>
          </w:p>
        </w:tc>
        <w:tc>
          <w:tcPr>
            <w:tcW w:type="dxa" w:w="3744"/>
            <w:vAlign w:val="center"/>
            <w:tcMar>
              <w:top w:w="85" w:type="dxa"/>
              <w:left w:w="85" w:type="dxa"/>
              <w:bottom w:w="85" w:type="dxa"/>
              <w:right w:w="85" w:type="dxa"/>
            </w:tcMar>
          </w:tcPr>
          <w:p>
            <w:pPr>
              <w:spacing w:after="40" w:before="20" w:line="252" w:lineRule="auto"/>
            </w:pPr>
            <w:r>
              <w:rPr>
                <w:sz w:val="18"/>
              </w:rPr>
              <w:t>Lundi 26 octobre au vendredi 6 novembre</w:t>
            </w:r>
          </w:p>
        </w:tc>
      </w:tr>
      <w:tr>
        <w:trPr>
          <w:cantSplit/>
        </w:trPr>
        <w:tc>
          <w:tcPr>
            <w:tcW w:type="dxa" w:w="2232"/>
            <w:vAlign w:val="center"/>
            <w:tcMar>
              <w:top w:w="85" w:type="dxa"/>
              <w:left w:w="85" w:type="dxa"/>
              <w:bottom w:w="85" w:type="dxa"/>
              <w:right w:w="85" w:type="dxa"/>
            </w:tcMar>
            <w:shd w:fill="EDF2F5"/>
          </w:tcPr>
          <w:p>
            <w:pPr>
              <w:spacing w:after="40" w:before="20" w:line="252" w:lineRule="auto"/>
            </w:pPr>
            <w:r>
              <w:rPr>
                <w:sz w:val="18"/>
              </w:rPr>
              <w:t>Réception</w:t>
            </w:r>
          </w:p>
        </w:tc>
        <w:tc>
          <w:tcPr>
            <w:tcW w:type="dxa" w:w="4176"/>
            <w:vAlign w:val="center"/>
            <w:tcMar>
              <w:top w:w="85" w:type="dxa"/>
              <w:left w:w="85" w:type="dxa"/>
              <w:bottom w:w="85" w:type="dxa"/>
              <w:right w:w="85" w:type="dxa"/>
            </w:tcMar>
            <w:shd w:fill="EDF2F5"/>
          </w:tcPr>
          <w:p>
            <w:pPr>
              <w:spacing w:after="40" w:before="20" w:line="252" w:lineRule="auto"/>
            </w:pPr>
            <w:r>
              <w:rPr>
                <w:sz w:val="18"/>
              </w:rPr>
              <w:t>2 jours ouvrés après travaux</w:t>
            </w:r>
          </w:p>
        </w:tc>
        <w:tc>
          <w:tcPr>
            <w:tcW w:type="dxa" w:w="3744"/>
            <w:vAlign w:val="center"/>
            <w:tcMar>
              <w:top w:w="85" w:type="dxa"/>
              <w:left w:w="85" w:type="dxa"/>
              <w:bottom w:w="85" w:type="dxa"/>
              <w:right w:w="85" w:type="dxa"/>
            </w:tcMar>
            <w:shd w:fill="EDF2F5"/>
          </w:tcPr>
          <w:p>
            <w:pPr>
              <w:spacing w:after="40" w:before="20" w:line="252" w:lineRule="auto"/>
            </w:pPr>
            <w:r>
              <w:rPr>
                <w:sz w:val="18"/>
              </w:rPr>
              <w:t>Lundi 9 et mardi 10 novembre</w:t>
            </w:r>
          </w:p>
        </w:tc>
      </w:tr>
      <w:tr>
        <w:trPr>
          <w:cantSplit/>
        </w:trPr>
        <w:tc>
          <w:tcPr>
            <w:tcW w:type="dxa" w:w="2232"/>
            <w:vAlign w:val="center"/>
            <w:tcMar>
              <w:top w:w="85" w:type="dxa"/>
              <w:left w:w="85" w:type="dxa"/>
              <w:bottom w:w="85" w:type="dxa"/>
              <w:right w:w="85" w:type="dxa"/>
            </w:tcMar>
          </w:tcPr>
          <w:p>
            <w:pPr>
              <w:spacing w:after="40" w:before="20" w:line="252" w:lineRule="auto"/>
            </w:pPr>
            <w:r>
              <w:rPr>
                <w:sz w:val="18"/>
              </w:rPr>
              <w:t>Ouverture envisageable</w:t>
            </w:r>
          </w:p>
        </w:tc>
        <w:tc>
          <w:tcPr>
            <w:tcW w:type="dxa" w:w="4176"/>
            <w:vAlign w:val="center"/>
            <w:tcMar>
              <w:top w:w="85" w:type="dxa"/>
              <w:left w:w="85" w:type="dxa"/>
              <w:bottom w:w="85" w:type="dxa"/>
              <w:right w:w="85" w:type="dxa"/>
            </w:tcMar>
          </w:tcPr>
          <w:p>
            <w:pPr>
              <w:spacing w:after="40" w:before="20" w:line="252" w:lineRule="auto"/>
            </w:pPr>
            <w:r>
              <w:rPr>
                <w:sz w:val="18"/>
              </w:rPr>
              <w:t>Jour ouvré après réception</w:t>
            </w:r>
          </w:p>
        </w:tc>
        <w:tc>
          <w:tcPr>
            <w:tcW w:type="dxa" w:w="3744"/>
            <w:vAlign w:val="center"/>
            <w:tcMar>
              <w:top w:w="85" w:type="dxa"/>
              <w:left w:w="85" w:type="dxa"/>
              <w:bottom w:w="85" w:type="dxa"/>
              <w:right w:w="85" w:type="dxa"/>
            </w:tcMar>
          </w:tcPr>
          <w:p>
            <w:pPr>
              <w:spacing w:after="40" w:before="20" w:line="252" w:lineRule="auto"/>
            </w:pPr>
            <w:r>
              <w:rPr>
                <w:sz w:val="18"/>
              </w:rPr>
              <w:t>Mercredi 11 novembre, sous réserves</w:t>
            </w:r>
          </w:p>
        </w:tc>
      </w:tr>
    </w:tbl>
    <w:p>
      <w:pPr>
        <w:spacing w:after="0"/>
      </w:pPr>
    </w:p>
    <w:p>
      <w:pPr>
        <w:pStyle w:val="Heading2"/>
      </w:pPr>
      <w:r>
        <w:t>Pourquoi le 9 novembre ne peut pas être confirmé</w:t>
      </w:r>
    </w:p>
    <w:p>
      <w:r>
        <w:rPr>
          <w:b w:val="0"/>
        </w:rPr>
        <w:t>Le 9 novembre évoqué en C6 correspond au début de la réception dans cette hypothèse. L’annoncer comme ouverture ignorerait les deux jours de réception décrits en C7. Le calendrier définitif reste à confirmer par les intervenants.</w:t>
      </w:r>
    </w:p>
    <w:p>
      <w:pPr>
        <w:pStyle w:val="Heading2"/>
      </w:pPr>
      <w:r>
        <w:t>Une dépendance, pas une promesse de délai</w:t>
      </w:r>
    </w:p>
    <w:p>
      <w:r>
        <w:rPr>
          <w:b w:val="0"/>
        </w:rPr>
        <w:t>Un report de confirmation, une interruption ou une durée différente décale les étapes suivantes. Le 11 novembre est un résultat de calcul sans jours exclus; son caractère effectivement travaillé doit être confirmé. Le classeur permet d’inscrire une liste de dates non travaillées.</w:t>
      </w:r>
    </w:p>
    <w:p>
      <w:pPr>
        <w:pStyle w:val="Heading2"/>
      </w:pPr>
      <w:r>
        <w:t>Ce qu’il faut vérifier avant toute annonce</w:t>
      </w:r>
    </w:p>
    <w:p>
      <w:r>
        <w:rPr>
          <w:b w:val="0"/>
        </w:rPr>
        <w:t>Décision de changement, confirmation technique, disponibilité des équipes, jours non travaillés, réception et éventuelles réserves, puis décision de la direction. Aucun calcul automatique ne remplace ces validations.</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Situation historique conservée</w:t>
              <w:br/>
            </w:r>
            <w:r>
              <w:rPr>
                <w:sz w:val="20"/>
              </w:rPr>
              <w:t>La photographie du dossier est celle du 19 octobre 2026. Le classeur utilise cette date fixe pour les états de suivi et n’applique pas automatiquement la date du jour à des tâches fictives anciennes.</w:t>
            </w:r>
          </w:p>
        </w:tc>
      </w:tr>
    </w:tbl>
    <w:p>
      <w:pPr>
        <w:spacing w:after="0"/>
      </w:pPr>
    </w:p>
    <w:p>
      <w:r>
        <w:br w:type="page"/>
      </w:r>
    </w:p>
    <w:p>
      <w:pPr>
        <w:spacing w:after="180"/>
      </w:pPr>
      <w:r>
        <w:rPr>
          <w:b/>
          <w:color w:val="496679"/>
          <w:sz w:val="17"/>
        </w:rPr>
        <w:t>05 · PIÈCES ET MÉTHODE</w:t>
      </w:r>
    </w:p>
    <w:p>
      <w:pPr>
        <w:pStyle w:val="Title"/>
      </w:pPr>
      <w:r>
        <w:t>Relier chaque montant à une preuve.</w:t>
      </w:r>
    </w:p>
    <w:tbl>
      <w:tblPr>
        <w:tblW w:type="auto" w:w="0"/>
        <w:jc w:val="center"/>
        <w:tblLayout w:type="fixed"/>
        <w:tblLook w:firstColumn="1" w:firstRow="1" w:lastColumn="0" w:lastRow="0" w:noHBand="0" w:noVBand="1" w:val="04A0"/>
      </w:tblPr>
      <w:tblGrid>
        <w:gridCol w:w="936"/>
        <w:gridCol w:w="5256"/>
        <w:gridCol w:w="3960"/>
      </w:tblGrid>
      <w:tr>
        <w:trPr>
          <w:tblHeader/>
        </w:trPr>
        <w:tc>
          <w:tcPr>
            <w:tcW w:type="dxa" w:w="936"/>
            <w:shd w:fill="172D3D"/>
            <w:tcMar>
              <w:top w:w="85" w:type="dxa"/>
              <w:left w:w="85" w:type="dxa"/>
              <w:bottom w:w="85" w:type="dxa"/>
              <w:right w:w="85" w:type="dxa"/>
            </w:tcMar>
          </w:tcPr>
          <w:p>
            <w:r>
              <w:rPr>
                <w:b/>
                <w:color w:val="FFFFFF"/>
                <w:sz w:val="18"/>
              </w:rPr>
              <w:t>Pièce</w:t>
            </w:r>
          </w:p>
        </w:tc>
        <w:tc>
          <w:tcPr>
            <w:tcW w:type="dxa" w:w="5256"/>
            <w:shd w:fill="172D3D"/>
            <w:tcMar>
              <w:top w:w="85" w:type="dxa"/>
              <w:left w:w="85" w:type="dxa"/>
              <w:bottom w:w="85" w:type="dxa"/>
              <w:right w:w="85" w:type="dxa"/>
            </w:tcMar>
          </w:tcPr>
          <w:p>
            <w:r>
              <w:rPr>
                <w:b/>
                <w:color w:val="FFFFFF"/>
                <w:sz w:val="18"/>
              </w:rPr>
              <w:t>Localisation dans Cosmologix-03-Sources.pdf</w:t>
            </w:r>
          </w:p>
        </w:tc>
        <w:tc>
          <w:tcPr>
            <w:tcW w:type="dxa" w:w="3960"/>
            <w:shd w:fill="172D3D"/>
            <w:tcMar>
              <w:top w:w="85" w:type="dxa"/>
              <w:left w:w="85" w:type="dxa"/>
              <w:bottom w:w="85" w:type="dxa"/>
              <w:right w:w="85" w:type="dxa"/>
            </w:tcMar>
          </w:tcPr>
          <w:p>
            <w:r>
              <w:rPr>
                <w:b/>
                <w:color w:val="FFFFFF"/>
                <w:sz w:val="18"/>
              </w:rPr>
              <w:t>Information utilisée</w:t>
            </w:r>
          </w:p>
        </w:tc>
      </w:tr>
      <w:tr>
        <w:trPr>
          <w:cantSplit/>
        </w:trPr>
        <w:tc>
          <w:tcPr>
            <w:tcW w:type="dxa" w:w="936"/>
            <w:vAlign w:val="center"/>
            <w:tcMar>
              <w:top w:w="85" w:type="dxa"/>
              <w:left w:w="85" w:type="dxa"/>
              <w:bottom w:w="85" w:type="dxa"/>
              <w:right w:w="85" w:type="dxa"/>
            </w:tcMar>
            <w:shd w:fill="EDF2F5"/>
          </w:tcPr>
          <w:p>
            <w:pPr>
              <w:spacing w:after="40" w:before="20" w:line="252" w:lineRule="auto"/>
            </w:pPr>
            <w:r>
              <w:rPr>
                <w:sz w:val="18"/>
              </w:rPr>
              <w:t>C1</w:t>
            </w:r>
          </w:p>
        </w:tc>
        <w:tc>
          <w:tcPr>
            <w:tcW w:type="dxa" w:w="5256"/>
            <w:vAlign w:val="center"/>
            <w:tcMar>
              <w:top w:w="85" w:type="dxa"/>
              <w:left w:w="85" w:type="dxa"/>
              <w:bottom w:w="85" w:type="dxa"/>
              <w:right w:w="85" w:type="dxa"/>
            </w:tcMar>
            <w:shd w:fill="EDF2F5"/>
          </w:tcPr>
          <w:p>
            <w:pPr>
              <w:spacing w:after="40" w:before="20" w:line="252" w:lineRule="auto"/>
            </w:pPr>
            <w:r>
              <w:rPr>
                <w:sz w:val="18"/>
              </w:rPr>
              <w:t>Page 1</w:t>
            </w:r>
          </w:p>
        </w:tc>
        <w:tc>
          <w:tcPr>
            <w:tcW w:type="dxa" w:w="3960"/>
            <w:vAlign w:val="center"/>
            <w:tcMar>
              <w:top w:w="85" w:type="dxa"/>
              <w:left w:w="85" w:type="dxa"/>
              <w:bottom w:w="85" w:type="dxa"/>
              <w:right w:w="85" w:type="dxa"/>
            </w:tcMar>
            <w:shd w:fill="EDF2F5"/>
          </w:tcPr>
          <w:p>
            <w:pPr>
              <w:spacing w:after="40" w:before="20" w:line="252" w:lineRule="auto"/>
            </w:pPr>
            <w:r>
              <w:rPr>
                <w:sz w:val="18"/>
              </w:rPr>
              <w:t>Budget, contrat et avenant décrit comme signé</w:t>
            </w:r>
          </w:p>
        </w:tc>
      </w:tr>
      <w:tr>
        <w:trPr>
          <w:cantSplit/>
        </w:trPr>
        <w:tc>
          <w:tcPr>
            <w:tcW w:type="dxa" w:w="936"/>
            <w:vAlign w:val="center"/>
            <w:tcMar>
              <w:top w:w="85" w:type="dxa"/>
              <w:left w:w="85" w:type="dxa"/>
              <w:bottom w:w="85" w:type="dxa"/>
              <w:right w:w="85" w:type="dxa"/>
            </w:tcMar>
          </w:tcPr>
          <w:p>
            <w:pPr>
              <w:spacing w:after="40" w:before="20" w:line="252" w:lineRule="auto"/>
            </w:pPr>
            <w:r>
              <w:rPr>
                <w:sz w:val="18"/>
              </w:rPr>
              <w:t>C2</w:t>
            </w:r>
          </w:p>
        </w:tc>
        <w:tc>
          <w:tcPr>
            <w:tcW w:type="dxa" w:w="5256"/>
            <w:vAlign w:val="center"/>
            <w:tcMar>
              <w:top w:w="85" w:type="dxa"/>
              <w:left w:w="85" w:type="dxa"/>
              <w:bottom w:w="85" w:type="dxa"/>
              <w:right w:w="85" w:type="dxa"/>
            </w:tcMar>
          </w:tcPr>
          <w:p>
            <w:pPr>
              <w:spacing w:after="40" w:before="20" w:line="252" w:lineRule="auto"/>
            </w:pPr>
            <w:r>
              <w:rPr>
                <w:sz w:val="18"/>
              </w:rPr>
              <w:t>Page 1</w:t>
            </w:r>
          </w:p>
        </w:tc>
        <w:tc>
          <w:tcPr>
            <w:tcW w:type="dxa" w:w="3960"/>
            <w:vAlign w:val="center"/>
            <w:tcMar>
              <w:top w:w="85" w:type="dxa"/>
              <w:left w:w="85" w:type="dxa"/>
              <w:bottom w:w="85" w:type="dxa"/>
              <w:right w:w="85" w:type="dxa"/>
            </w:tcMar>
          </w:tcPr>
          <w:p>
            <w:pPr>
              <w:spacing w:after="40" w:before="20" w:line="252" w:lineRule="auto"/>
            </w:pPr>
            <w:r>
              <w:rPr>
                <w:sz w:val="18"/>
              </w:rPr>
              <w:t>F-101 payée; F-102 reçue non payée</w:t>
            </w:r>
          </w:p>
        </w:tc>
      </w:tr>
      <w:tr>
        <w:trPr>
          <w:cantSplit/>
        </w:trPr>
        <w:tc>
          <w:tcPr>
            <w:tcW w:type="dxa" w:w="936"/>
            <w:vAlign w:val="center"/>
            <w:tcMar>
              <w:top w:w="85" w:type="dxa"/>
              <w:left w:w="85" w:type="dxa"/>
              <w:bottom w:w="85" w:type="dxa"/>
              <w:right w:w="85" w:type="dxa"/>
            </w:tcMar>
            <w:shd w:fill="EDF2F5"/>
          </w:tcPr>
          <w:p>
            <w:pPr>
              <w:spacing w:after="40" w:before="20" w:line="252" w:lineRule="auto"/>
            </w:pPr>
            <w:r>
              <w:rPr>
                <w:sz w:val="18"/>
              </w:rPr>
              <w:t>C3</w:t>
            </w:r>
          </w:p>
        </w:tc>
        <w:tc>
          <w:tcPr>
            <w:tcW w:type="dxa" w:w="5256"/>
            <w:vAlign w:val="center"/>
            <w:tcMar>
              <w:top w:w="85" w:type="dxa"/>
              <w:left w:w="85" w:type="dxa"/>
              <w:bottom w:w="85" w:type="dxa"/>
              <w:right w:w="85" w:type="dxa"/>
            </w:tcMar>
            <w:shd w:fill="EDF2F5"/>
          </w:tcPr>
          <w:p>
            <w:pPr>
              <w:spacing w:after="40" w:before="20" w:line="252" w:lineRule="auto"/>
            </w:pPr>
            <w:r>
              <w:rPr>
                <w:sz w:val="18"/>
              </w:rPr>
              <w:t>Page 1</w:t>
            </w:r>
          </w:p>
        </w:tc>
        <w:tc>
          <w:tcPr>
            <w:tcW w:type="dxa" w:w="3960"/>
            <w:vAlign w:val="center"/>
            <w:tcMar>
              <w:top w:w="85" w:type="dxa"/>
              <w:left w:w="85" w:type="dxa"/>
              <w:bottom w:w="85" w:type="dxa"/>
              <w:right w:w="85" w:type="dxa"/>
            </w:tcMar>
            <w:shd w:fill="EDF2F5"/>
          </w:tcPr>
          <w:p>
            <w:pPr>
              <w:spacing w:after="40" w:before="20" w:line="252" w:lineRule="auto"/>
            </w:pPr>
            <w:r>
              <w:rPr>
                <w:sz w:val="18"/>
              </w:rPr>
              <w:t>Renvoi de la même facture F-102</w:t>
            </w:r>
          </w:p>
        </w:tc>
      </w:tr>
      <w:tr>
        <w:trPr>
          <w:cantSplit/>
        </w:trPr>
        <w:tc>
          <w:tcPr>
            <w:tcW w:type="dxa" w:w="936"/>
            <w:vAlign w:val="center"/>
            <w:tcMar>
              <w:top w:w="85" w:type="dxa"/>
              <w:left w:w="85" w:type="dxa"/>
              <w:bottom w:w="85" w:type="dxa"/>
              <w:right w:w="85" w:type="dxa"/>
            </w:tcMar>
          </w:tcPr>
          <w:p>
            <w:pPr>
              <w:spacing w:after="40" w:before="20" w:line="252" w:lineRule="auto"/>
            </w:pPr>
            <w:r>
              <w:rPr>
                <w:sz w:val="18"/>
              </w:rPr>
              <w:t>C4</w:t>
            </w:r>
          </w:p>
        </w:tc>
        <w:tc>
          <w:tcPr>
            <w:tcW w:type="dxa" w:w="5256"/>
            <w:vAlign w:val="center"/>
            <w:tcMar>
              <w:top w:w="85" w:type="dxa"/>
              <w:left w:w="85" w:type="dxa"/>
              <w:bottom w:w="85" w:type="dxa"/>
              <w:right w:w="85" w:type="dxa"/>
            </w:tcMar>
          </w:tcPr>
          <w:p>
            <w:pPr>
              <w:spacing w:after="40" w:before="20" w:line="252" w:lineRule="auto"/>
            </w:pPr>
            <w:r>
              <w:rPr>
                <w:sz w:val="18"/>
              </w:rPr>
              <w:t>Page 2</w:t>
            </w:r>
          </w:p>
        </w:tc>
        <w:tc>
          <w:tcPr>
            <w:tcW w:type="dxa" w:w="3960"/>
            <w:vAlign w:val="center"/>
            <w:tcMar>
              <w:top w:w="85" w:type="dxa"/>
              <w:left w:w="85" w:type="dxa"/>
              <w:bottom w:w="85" w:type="dxa"/>
              <w:right w:w="85" w:type="dxa"/>
            </w:tcMar>
          </w:tcPr>
          <w:p>
            <w:pPr>
              <w:spacing w:after="40" w:before="20" w:line="252" w:lineRule="auto"/>
            </w:pPr>
            <w:r>
              <w:rPr>
                <w:sz w:val="18"/>
              </w:rPr>
              <w:t>Changement de 18 500 $, non signé</w:t>
            </w:r>
          </w:p>
        </w:tc>
      </w:tr>
      <w:tr>
        <w:trPr>
          <w:cantSplit/>
        </w:trPr>
        <w:tc>
          <w:tcPr>
            <w:tcW w:type="dxa" w:w="936"/>
            <w:vAlign w:val="center"/>
            <w:tcMar>
              <w:top w:w="85" w:type="dxa"/>
              <w:left w:w="85" w:type="dxa"/>
              <w:bottom w:w="85" w:type="dxa"/>
              <w:right w:w="85" w:type="dxa"/>
            </w:tcMar>
            <w:shd w:fill="EDF2F5"/>
          </w:tcPr>
          <w:p>
            <w:pPr>
              <w:spacing w:after="40" w:before="20" w:line="252" w:lineRule="auto"/>
            </w:pPr>
            <w:r>
              <w:rPr>
                <w:sz w:val="18"/>
              </w:rPr>
              <w:t>C5</w:t>
            </w:r>
          </w:p>
        </w:tc>
        <w:tc>
          <w:tcPr>
            <w:tcW w:type="dxa" w:w="5256"/>
            <w:vAlign w:val="center"/>
            <w:tcMar>
              <w:top w:w="85" w:type="dxa"/>
              <w:left w:w="85" w:type="dxa"/>
              <w:bottom w:w="85" w:type="dxa"/>
              <w:right w:w="85" w:type="dxa"/>
            </w:tcMar>
            <w:shd w:fill="EDF2F5"/>
          </w:tcPr>
          <w:p>
            <w:pPr>
              <w:spacing w:after="40" w:before="20" w:line="252" w:lineRule="auto"/>
            </w:pPr>
            <w:r>
              <w:rPr>
                <w:sz w:val="18"/>
              </w:rPr>
              <w:t>Page 2</w:t>
            </w:r>
          </w:p>
        </w:tc>
        <w:tc>
          <w:tcPr>
            <w:tcW w:type="dxa" w:w="3960"/>
            <w:vAlign w:val="center"/>
            <w:tcMar>
              <w:top w:w="85" w:type="dxa"/>
              <w:left w:w="85" w:type="dxa"/>
              <w:bottom w:w="85" w:type="dxa"/>
              <w:right w:w="85" w:type="dxa"/>
            </w:tcMar>
            <w:shd w:fill="EDF2F5"/>
          </w:tcPr>
          <w:p>
            <w:pPr>
              <w:spacing w:after="40" w:before="20" w:line="252" w:lineRule="auto"/>
            </w:pPr>
            <w:r>
              <w:rPr>
                <w:sz w:val="18"/>
              </w:rPr>
              <w:t>Dix jours ouvrés après confirmation et décision</w:t>
            </w:r>
          </w:p>
        </w:tc>
      </w:tr>
      <w:tr>
        <w:trPr>
          <w:cantSplit/>
        </w:trPr>
        <w:tc>
          <w:tcPr>
            <w:tcW w:type="dxa" w:w="936"/>
            <w:vAlign w:val="center"/>
            <w:tcMar>
              <w:top w:w="85" w:type="dxa"/>
              <w:left w:w="85" w:type="dxa"/>
              <w:bottom w:w="85" w:type="dxa"/>
              <w:right w:w="85" w:type="dxa"/>
            </w:tcMar>
          </w:tcPr>
          <w:p>
            <w:pPr>
              <w:spacing w:after="40" w:before="20" w:line="252" w:lineRule="auto"/>
            </w:pPr>
            <w:r>
              <w:rPr>
                <w:sz w:val="18"/>
              </w:rPr>
              <w:t>C6</w:t>
            </w:r>
          </w:p>
        </w:tc>
        <w:tc>
          <w:tcPr>
            <w:tcW w:type="dxa" w:w="5256"/>
            <w:vAlign w:val="center"/>
            <w:tcMar>
              <w:top w:w="85" w:type="dxa"/>
              <w:left w:w="85" w:type="dxa"/>
              <w:bottom w:w="85" w:type="dxa"/>
              <w:right w:w="85" w:type="dxa"/>
            </w:tcMar>
          </w:tcPr>
          <w:p>
            <w:pPr>
              <w:spacing w:after="40" w:before="20" w:line="252" w:lineRule="auto"/>
            </w:pPr>
            <w:r>
              <w:rPr>
                <w:sz w:val="18"/>
              </w:rPr>
              <w:t>Page 2</w:t>
            </w:r>
          </w:p>
        </w:tc>
        <w:tc>
          <w:tcPr>
            <w:tcW w:type="dxa" w:w="3960"/>
            <w:vAlign w:val="center"/>
            <w:tcMar>
              <w:top w:w="85" w:type="dxa"/>
              <w:left w:w="85" w:type="dxa"/>
              <w:bottom w:w="85" w:type="dxa"/>
              <w:right w:w="85" w:type="dxa"/>
            </w:tcMar>
          </w:tcPr>
          <w:p>
            <w:pPr>
              <w:spacing w:after="40" w:before="20" w:line="252" w:lineRule="auto"/>
            </w:pPr>
            <w:r>
              <w:rPr>
                <w:sz w:val="18"/>
              </w:rPr>
              <w:t>Ouverture souhaitée au 9 novembre</w:t>
            </w:r>
          </w:p>
        </w:tc>
      </w:tr>
      <w:tr>
        <w:trPr>
          <w:cantSplit/>
        </w:trPr>
        <w:tc>
          <w:tcPr>
            <w:tcW w:type="dxa" w:w="936"/>
            <w:vAlign w:val="center"/>
            <w:tcMar>
              <w:top w:w="85" w:type="dxa"/>
              <w:left w:w="85" w:type="dxa"/>
              <w:bottom w:w="85" w:type="dxa"/>
              <w:right w:w="85" w:type="dxa"/>
            </w:tcMar>
            <w:shd w:fill="EDF2F5"/>
          </w:tcPr>
          <w:p>
            <w:pPr>
              <w:spacing w:after="40" w:before="20" w:line="252" w:lineRule="auto"/>
            </w:pPr>
            <w:r>
              <w:rPr>
                <w:sz w:val="18"/>
              </w:rPr>
              <w:t>C7</w:t>
            </w:r>
          </w:p>
        </w:tc>
        <w:tc>
          <w:tcPr>
            <w:tcW w:type="dxa" w:w="5256"/>
            <w:vAlign w:val="center"/>
            <w:tcMar>
              <w:top w:w="85" w:type="dxa"/>
              <w:left w:w="85" w:type="dxa"/>
              <w:bottom w:w="85" w:type="dxa"/>
              <w:right w:w="85" w:type="dxa"/>
            </w:tcMar>
            <w:shd w:fill="EDF2F5"/>
          </w:tcPr>
          <w:p>
            <w:pPr>
              <w:spacing w:after="40" w:before="20" w:line="252" w:lineRule="auto"/>
            </w:pPr>
            <w:r>
              <w:rPr>
                <w:sz w:val="18"/>
              </w:rPr>
              <w:t>Page 2</w:t>
            </w:r>
          </w:p>
        </w:tc>
        <w:tc>
          <w:tcPr>
            <w:tcW w:type="dxa" w:w="3960"/>
            <w:vAlign w:val="center"/>
            <w:tcMar>
              <w:top w:w="85" w:type="dxa"/>
              <w:left w:w="85" w:type="dxa"/>
              <w:bottom w:w="85" w:type="dxa"/>
              <w:right w:w="85" w:type="dxa"/>
            </w:tcMar>
            <w:shd w:fill="EDF2F5"/>
          </w:tcPr>
          <w:p>
            <w:pPr>
              <w:spacing w:after="40" w:before="20" w:line="252" w:lineRule="auto"/>
            </w:pPr>
            <w:r>
              <w:rPr>
                <w:sz w:val="18"/>
              </w:rPr>
              <w:t>Confirmation absente; deux jours de réception</w:t>
            </w:r>
          </w:p>
        </w:tc>
      </w:tr>
    </w:tbl>
    <w:p>
      <w:pPr>
        <w:spacing w:after="0"/>
      </w:pPr>
    </w:p>
    <w:p>
      <w:pPr>
        <w:pStyle w:val="Heading2"/>
      </w:pPr>
      <w:r>
        <w:t>Le classeur associé</w:t>
      </w:r>
    </w:p>
    <w:p>
      <w:r>
        <w:rPr>
          <w:b w:val="0"/>
        </w:rPr>
        <w:t>LECLERC_Outil_Suivi_Projet.xlsx réunit les hypothèses, les transmissions de factures, le suivi financier, l’échéancier, les actions et un registre documentaire. Les calculs ne confèrent aucune approbation à une facture ou à un changement.</w:t>
      </w:r>
    </w:p>
    <w:p>
      <w:pPr>
        <w:pStyle w:val="Heading2"/>
      </w:pPr>
      <w:r>
        <w:t>Une organisation documentaire réutilisable</w:t>
      </w:r>
    </w:p>
    <w:p>
      <w:r>
        <w:rPr>
          <w:b w:val="0"/>
        </w:rPr>
        <w:t>Conserver la pièce reçue, la relier à son identifiant, noter son statut et son validateur, puis travailler sur une copie versionnée. Le guide LECLERC d’organisation documentaire détaille ce fonctionnement sans recopier les renseignements d’un dossier réel.</w:t>
      </w:r>
    </w:p>
    <w:p>
      <w:pPr>
        <w:pStyle w:val="Heading2"/>
      </w:pPr>
      <w:r>
        <w:t>Adaptation et contrôles</w:t>
      </w:r>
    </w:p>
    <w:p>
      <w:r>
        <w:rPr>
          <w:b w:val="0"/>
        </w:rPr>
        <w:t>Les données de C1 à C7 et les calculs centraux sont conservés. L’adaptation développe les responsabilités, l’état des validations et les usages du registre. La cohérence arithmétique, le traitement du doublon et le calendrier pédagogique ont été contrôlés; aucune conformité professionnelle n’est attestée.</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Périmètre de cette démonstration</w:t>
              <w:br/>
            </w:r>
            <w:r>
              <w:rPr>
                <w:sz w:val="20"/>
              </w:rPr>
              <w:t>Ce dossier illustre la coordination administrative et l’aide à la décision. Il ne remplace ni la surveillance, ni une attestation technique, ni les règles contractuelles de l’organisation. Les originaux COSMOLOGIX sont conservés séparément.</w:t>
            </w:r>
          </w:p>
        </w:tc>
      </w:tr>
    </w:tbl>
    <w:p>
      <w:pPr>
        <w:spacing w:after="0"/>
      </w:pPr>
    </w:p>
    <w:sectPr w:rsidR="00FC693F" w:rsidRPr="0006063C" w:rsidSect="00034616">
      <w:headerReference w:type="default" r:id="rId9"/>
      <w:footerReference w:type="default" r:id="rId10"/>
      <w:pgSz w:w="12240" w:h="15840"/>
      <w:pgMar w:top="1181" w:right="1037" w:bottom="1008"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136" w:val="left"/>
        <w:tab w:pos="8136" w:val="left"/>
      </w:tabs>
      <w:spacing w:before="100"/>
    </w:pPr>
    <w:r>
      <w:rPr>
        <w:sz w:val="15"/>
      </w:rPr>
      <w:t>LSC-DEMO-05 · Démonstration fictive · 02.11.2026</w:t>
      <w:tab/>
      <w:t xml:space="preserve">Page </w:t>
    </w:r>
    <w:fldSimple w:instr="PAGE">
      <w:r>
        <w:rPr>
          <w:sz w:val="15"/>
        </w:rPr>
        <w:t>1</w:t>
      </w:r>
    </w:fldSimple>
    <w:r>
      <w:rPr>
        <w:sz w:val="15"/>
      </w:rPr>
      <w:t xml:space="preserve"> / </w:t>
    </w:r>
    <w:fldSimple w:instr="NUMPAGES">
      <w:r>
        <w:rPr>
          <w:sz w:val="15"/>
        </w:rPr>
        <w:t>5</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Bdr>
        <w:bottom w:val="single" w:sz="6" w:color="CCD6DD"/>
      </w:pBdr>
    </w:pPr>
    <w:r>
      <w:rPr>
        <w:b/>
        <w:color w:val="172D3D"/>
        <w:sz w:val="30"/>
      </w:rPr>
      <w:t>LECLERC</w:t>
    </w:r>
    <w:r>
      <w:rPr>
        <w:color w:val="496679"/>
        <w:sz w:val="18"/>
      </w:rPr>
      <w:t xml:space="preserve">  SERVICES-CONSEILS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Calibri" w:hAnsi="Calibri"/>
      <w:color w:val="172D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Calibri" w:hAnsi="Calibri"/>
      <w:b/>
      <w:bCs/>
      <w:color w:val="172D3D"/>
      <w:sz w:val="4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496679"/>
      <w:sz w:val="26"/>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Theme="majorHAnsi" w:eastAsiaTheme="majorEastAsia" w:hAnsiTheme="majorHAnsi" w:cstheme="majorBidi" w:ascii="Calibri" w:hAnsi="Calibri"/>
      <w:b/>
      <w:bCs/>
      <w:color w:val="172D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Calibri" w:hAnsi="Calibri"/>
      <w:b w:val="0"/>
      <w:color w:val="172D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Structurer un plan d’action et le suivi d’un projet</dc:title>
  <dc:subject>Démonstration fictive — adaptation documentée depuis les archives COSMOLOGIX</dc:subject>
  <dc:creator>LECLERC SERVICES-CONSEILS</dc:creator>
  <cp:keywords>démonstration fictive, préproduction, LECLERC</cp:keywords>
  <dc:description>generated by python-docx</dc:description>
  <cp:lastModifiedBy/>
  <cp:revision>1</cp:revision>
  <dcterms:created xsi:type="dcterms:W3CDTF">2013-12-23T23:15:00Z</dcterms:created>
  <dcterms:modified xsi:type="dcterms:W3CDTF">2013-12-23T23:15:00Z</dcterms:modified>
  <cp:category/>
</cp:coreProperties>
</file>