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80"/>
      </w:pPr>
      <w:r>
        <w:rPr>
          <w:b/>
          <w:color w:val="496679"/>
          <w:sz w:val="17"/>
        </w:rPr>
        <w:t>DOMAINE 04 · ORGANISATION ADMINISTRATIVE</w:t>
      </w:r>
    </w:p>
    <w:p>
      <w:pPr>
        <w:pStyle w:val="Title"/>
      </w:pPr>
      <w:r>
        <w:t>Un dossier que l’équipe</w:t>
        <w:br/>
        <w:t>peut reprendre.</w:t>
      </w:r>
    </w:p>
    <w:p>
      <w:r>
        <w:rPr>
          <w:b w:val="0"/>
        </w:rPr>
        <w:t>Modèle de méthode à adapter — dérivé des contrôles documentaires illustrés par les scénarios fictifs B1–B4 et C1–C7. Ce guide n’est pas une réalisation client.</w:t>
      </w:r>
    </w:p>
    <w:p>
      <w:pPr>
        <w:pStyle w:val="Heading2"/>
      </w:pPr>
      <w:r>
        <w:t>Objectif</w:t>
      </w:r>
    </w:p>
    <w:p>
      <w:r>
        <w:rPr>
          <w:b w:val="0"/>
        </w:rPr>
        <w:t>Permettre à une personne autorisée de retrouver les pièces, de distinguer les versions et de savoir ce qui est validé, manquant ou en attente. Le système doit rester proportionné au dossier et aux outils déjà utilisés par l’organisation.</w:t>
      </w:r>
    </w:p>
    <w:tbl>
      <w:tblPr>
        <w:tblW w:type="auto" w:w="0"/>
        <w:jc w:val="center"/>
        <w:tblLayout w:type="fixed"/>
        <w:tblLook w:firstColumn="1" w:firstRow="1" w:lastColumn="0" w:lastRow="0" w:noHBand="0" w:noVBand="1" w:val="04A0"/>
      </w:tblPr>
      <w:tblGrid>
        <w:gridCol w:w="3384"/>
        <w:gridCol w:w="6768"/>
      </w:tblGrid>
      <w:tr>
        <w:trPr>
          <w:tblHeader/>
        </w:trPr>
        <w:tc>
          <w:tcPr>
            <w:tcW w:type="dxa" w:w="3384"/>
            <w:shd w:fill="172D3D"/>
            <w:tcMar>
              <w:top w:w="85" w:type="dxa"/>
              <w:left w:w="85" w:type="dxa"/>
              <w:bottom w:w="85" w:type="dxa"/>
              <w:right w:w="85" w:type="dxa"/>
            </w:tcMar>
          </w:tcPr>
          <w:p>
            <w:r>
              <w:rPr>
                <w:b/>
                <w:color w:val="FFFFFF"/>
                <w:sz w:val="18"/>
              </w:rPr>
              <w:t>Dossier proposé</w:t>
            </w:r>
          </w:p>
        </w:tc>
        <w:tc>
          <w:tcPr>
            <w:tcW w:type="dxa" w:w="6768"/>
            <w:shd w:fill="172D3D"/>
            <w:tcMar>
              <w:top w:w="85" w:type="dxa"/>
              <w:left w:w="85" w:type="dxa"/>
              <w:bottom w:w="85" w:type="dxa"/>
              <w:right w:w="85" w:type="dxa"/>
            </w:tcMar>
          </w:tcPr>
          <w:p>
            <w:r>
              <w:rPr>
                <w:b/>
                <w:color w:val="FFFFFF"/>
                <w:sz w:val="18"/>
              </w:rPr>
              <w:t>Contenu attendu</w:t>
            </w:r>
          </w:p>
        </w:tc>
      </w:tr>
      <w:tr>
        <w:trPr>
          <w:cantSplit/>
        </w:trPr>
        <w:tc>
          <w:tcPr>
            <w:tcW w:type="dxa" w:w="3384"/>
            <w:vAlign w:val="center"/>
            <w:tcMar>
              <w:top w:w="85" w:type="dxa"/>
              <w:left w:w="85" w:type="dxa"/>
              <w:bottom w:w="85" w:type="dxa"/>
              <w:right w:w="85" w:type="dxa"/>
            </w:tcMar>
            <w:shd w:fill="EDF2F5"/>
          </w:tcPr>
          <w:p>
            <w:pPr>
              <w:spacing w:after="40" w:before="20" w:line="252" w:lineRule="auto"/>
            </w:pPr>
            <w:r>
              <w:rPr>
                <w:sz w:val="18"/>
              </w:rPr>
              <w:t>01_Cadrage</w:t>
            </w:r>
          </w:p>
        </w:tc>
        <w:tc>
          <w:tcPr>
            <w:tcW w:type="dxa" w:w="6768"/>
            <w:vAlign w:val="center"/>
            <w:tcMar>
              <w:top w:w="85" w:type="dxa"/>
              <w:left w:w="85" w:type="dxa"/>
              <w:bottom w:w="85" w:type="dxa"/>
              <w:right w:w="85" w:type="dxa"/>
            </w:tcMar>
            <w:shd w:fill="EDF2F5"/>
          </w:tcPr>
          <w:p>
            <w:pPr>
              <w:spacing w:after="40" w:before="20" w:line="252" w:lineRule="auto"/>
            </w:pPr>
            <w:r>
              <w:rPr>
                <w:sz w:val="18"/>
              </w:rPr>
              <w:t>Mandat accepté, objectif, périmètre et responsabilités</w:t>
            </w:r>
          </w:p>
        </w:tc>
      </w:tr>
      <w:tr>
        <w:trPr>
          <w:cantSplit/>
        </w:trPr>
        <w:tc>
          <w:tcPr>
            <w:tcW w:type="dxa" w:w="3384"/>
            <w:vAlign w:val="center"/>
            <w:tcMar>
              <w:top w:w="85" w:type="dxa"/>
              <w:left w:w="85" w:type="dxa"/>
              <w:bottom w:w="85" w:type="dxa"/>
              <w:right w:w="85" w:type="dxa"/>
            </w:tcMar>
          </w:tcPr>
          <w:p>
            <w:pPr>
              <w:spacing w:after="40" w:before="20" w:line="252" w:lineRule="auto"/>
            </w:pPr>
            <w:r>
              <w:rPr>
                <w:sz w:val="18"/>
              </w:rPr>
              <w:t>02_Sources_recues</w:t>
            </w:r>
          </w:p>
        </w:tc>
        <w:tc>
          <w:tcPr>
            <w:tcW w:type="dxa" w:w="6768"/>
            <w:vAlign w:val="center"/>
            <w:tcMar>
              <w:top w:w="85" w:type="dxa"/>
              <w:left w:w="85" w:type="dxa"/>
              <w:bottom w:w="85" w:type="dxa"/>
              <w:right w:w="85" w:type="dxa"/>
            </w:tcMar>
          </w:tcPr>
          <w:p>
            <w:pPr>
              <w:spacing w:after="40" w:before="20" w:line="252" w:lineRule="auto"/>
            </w:pPr>
            <w:r>
              <w:rPr>
                <w:sz w:val="18"/>
              </w:rPr>
              <w:t>Pièces originales; inventaire et conditions d’accès</w:t>
            </w:r>
          </w:p>
        </w:tc>
      </w:tr>
      <w:tr>
        <w:trPr>
          <w:cantSplit/>
        </w:trPr>
        <w:tc>
          <w:tcPr>
            <w:tcW w:type="dxa" w:w="3384"/>
            <w:vAlign w:val="center"/>
            <w:tcMar>
              <w:top w:w="85" w:type="dxa"/>
              <w:left w:w="85" w:type="dxa"/>
              <w:bottom w:w="85" w:type="dxa"/>
              <w:right w:w="85" w:type="dxa"/>
            </w:tcMar>
            <w:shd w:fill="EDF2F5"/>
          </w:tcPr>
          <w:p>
            <w:pPr>
              <w:spacing w:after="40" w:before="20" w:line="252" w:lineRule="auto"/>
            </w:pPr>
            <w:r>
              <w:rPr>
                <w:sz w:val="18"/>
              </w:rPr>
              <w:t>03_Analyses_travail</w:t>
            </w:r>
          </w:p>
        </w:tc>
        <w:tc>
          <w:tcPr>
            <w:tcW w:type="dxa" w:w="6768"/>
            <w:vAlign w:val="center"/>
            <w:tcMar>
              <w:top w:w="85" w:type="dxa"/>
              <w:left w:w="85" w:type="dxa"/>
              <w:bottom w:w="85" w:type="dxa"/>
              <w:right w:w="85" w:type="dxa"/>
            </w:tcMar>
            <w:shd w:fill="EDF2F5"/>
          </w:tcPr>
          <w:p>
            <w:pPr>
              <w:spacing w:after="40" w:before="20" w:line="252" w:lineRule="auto"/>
            </w:pPr>
            <w:r>
              <w:rPr>
                <w:sz w:val="18"/>
              </w:rPr>
              <w:t>Calculs, brouillons et hypothèses identifiables</w:t>
            </w:r>
          </w:p>
        </w:tc>
      </w:tr>
      <w:tr>
        <w:trPr>
          <w:cantSplit/>
        </w:trPr>
        <w:tc>
          <w:tcPr>
            <w:tcW w:type="dxa" w:w="3384"/>
            <w:vAlign w:val="center"/>
            <w:tcMar>
              <w:top w:w="85" w:type="dxa"/>
              <w:left w:w="85" w:type="dxa"/>
              <w:bottom w:w="85" w:type="dxa"/>
              <w:right w:w="85" w:type="dxa"/>
            </w:tcMar>
          </w:tcPr>
          <w:p>
            <w:pPr>
              <w:spacing w:after="40" w:before="20" w:line="252" w:lineRule="auto"/>
            </w:pPr>
            <w:r>
              <w:rPr>
                <w:sz w:val="18"/>
              </w:rPr>
              <w:t>04_Decisions_validations</w:t>
            </w:r>
          </w:p>
        </w:tc>
        <w:tc>
          <w:tcPr>
            <w:tcW w:type="dxa" w:w="6768"/>
            <w:vAlign w:val="center"/>
            <w:tcMar>
              <w:top w:w="85" w:type="dxa"/>
              <w:left w:w="85" w:type="dxa"/>
              <w:bottom w:w="85" w:type="dxa"/>
              <w:right w:w="85" w:type="dxa"/>
            </w:tcMar>
          </w:tcPr>
          <w:p>
            <w:pPr>
              <w:spacing w:after="40" w:before="20" w:line="252" w:lineRule="auto"/>
            </w:pPr>
            <w:r>
              <w:rPr>
                <w:sz w:val="18"/>
              </w:rPr>
              <w:t>Décisions, commentaires consolidés et approbations</w:t>
            </w:r>
          </w:p>
        </w:tc>
      </w:tr>
      <w:tr>
        <w:trPr>
          <w:cantSplit/>
        </w:trPr>
        <w:tc>
          <w:tcPr>
            <w:tcW w:type="dxa" w:w="3384"/>
            <w:vAlign w:val="center"/>
            <w:tcMar>
              <w:top w:w="85" w:type="dxa"/>
              <w:left w:w="85" w:type="dxa"/>
              <w:bottom w:w="85" w:type="dxa"/>
              <w:right w:w="85" w:type="dxa"/>
            </w:tcMar>
            <w:shd w:fill="EDF2F5"/>
          </w:tcPr>
          <w:p>
            <w:pPr>
              <w:spacing w:after="40" w:before="20" w:line="252" w:lineRule="auto"/>
            </w:pPr>
            <w:r>
              <w:rPr>
                <w:sz w:val="18"/>
              </w:rPr>
              <w:t>05_Suivi_actions</w:t>
            </w:r>
          </w:p>
        </w:tc>
        <w:tc>
          <w:tcPr>
            <w:tcW w:type="dxa" w:w="6768"/>
            <w:vAlign w:val="center"/>
            <w:tcMar>
              <w:top w:w="85" w:type="dxa"/>
              <w:left w:w="85" w:type="dxa"/>
              <w:bottom w:w="85" w:type="dxa"/>
              <w:right w:w="85" w:type="dxa"/>
            </w:tcMar>
            <w:shd w:fill="EDF2F5"/>
          </w:tcPr>
          <w:p>
            <w:pPr>
              <w:spacing w:after="40" w:before="20" w:line="252" w:lineRule="auto"/>
            </w:pPr>
            <w:r>
              <w:rPr>
                <w:sz w:val="18"/>
              </w:rPr>
              <w:t>Actions, échéances, responsables et changements</w:t>
            </w:r>
          </w:p>
        </w:tc>
      </w:tr>
      <w:tr>
        <w:trPr>
          <w:cantSplit/>
        </w:trPr>
        <w:tc>
          <w:tcPr>
            <w:tcW w:type="dxa" w:w="3384"/>
            <w:vAlign w:val="center"/>
            <w:tcMar>
              <w:top w:w="85" w:type="dxa"/>
              <w:left w:w="85" w:type="dxa"/>
              <w:bottom w:w="85" w:type="dxa"/>
              <w:right w:w="85" w:type="dxa"/>
            </w:tcMar>
          </w:tcPr>
          <w:p>
            <w:pPr>
              <w:spacing w:after="40" w:before="20" w:line="252" w:lineRule="auto"/>
            </w:pPr>
            <w:r>
              <w:rPr>
                <w:sz w:val="18"/>
              </w:rPr>
              <w:t>06_Livrables_remis</w:t>
            </w:r>
          </w:p>
        </w:tc>
        <w:tc>
          <w:tcPr>
            <w:tcW w:type="dxa" w:w="6768"/>
            <w:vAlign w:val="center"/>
            <w:tcMar>
              <w:top w:w="85" w:type="dxa"/>
              <w:left w:w="85" w:type="dxa"/>
              <w:bottom w:w="85" w:type="dxa"/>
              <w:right w:w="85" w:type="dxa"/>
            </w:tcMar>
          </w:tcPr>
          <w:p>
            <w:pPr>
              <w:spacing w:after="40" w:before="20" w:line="252" w:lineRule="auto"/>
            </w:pPr>
            <w:r>
              <w:rPr>
                <w:sz w:val="18"/>
              </w:rPr>
              <w:t>Versions remises et accusés de transmission</w:t>
            </w:r>
          </w:p>
        </w:tc>
      </w:tr>
      <w:tr>
        <w:trPr>
          <w:cantSplit/>
        </w:trPr>
        <w:tc>
          <w:tcPr>
            <w:tcW w:type="dxa" w:w="3384"/>
            <w:vAlign w:val="center"/>
            <w:tcMar>
              <w:top w:w="85" w:type="dxa"/>
              <w:left w:w="85" w:type="dxa"/>
              <w:bottom w:w="85" w:type="dxa"/>
              <w:right w:w="85" w:type="dxa"/>
            </w:tcMar>
            <w:shd w:fill="EDF2F5"/>
          </w:tcPr>
          <w:p>
            <w:pPr>
              <w:spacing w:after="40" w:before="20" w:line="252" w:lineRule="auto"/>
            </w:pPr>
            <w:r>
              <w:rPr>
                <w:sz w:val="18"/>
              </w:rPr>
              <w:t>07_Cloture</w:t>
            </w:r>
          </w:p>
        </w:tc>
        <w:tc>
          <w:tcPr>
            <w:tcW w:type="dxa" w:w="6768"/>
            <w:vAlign w:val="center"/>
            <w:tcMar>
              <w:top w:w="85" w:type="dxa"/>
              <w:left w:w="85" w:type="dxa"/>
              <w:bottom w:w="85" w:type="dxa"/>
              <w:right w:w="85" w:type="dxa"/>
            </w:tcMar>
            <w:shd w:fill="EDF2F5"/>
          </w:tcPr>
          <w:p>
            <w:pPr>
              <w:spacing w:after="40" w:before="20" w:line="252" w:lineRule="auto"/>
            </w:pPr>
            <w:r>
              <w:rPr>
                <w:sz w:val="18"/>
              </w:rPr>
              <w:t>Actions ouvertes, remise des accès et dispositions de conservation</w:t>
            </w:r>
          </w:p>
        </w:tc>
      </w:tr>
    </w:tbl>
    <w:p>
      <w:pPr>
        <w:spacing w:after="0"/>
      </w:pPr>
    </w:p>
    <w:p>
      <w:pPr>
        <w:pStyle w:val="Heading2"/>
      </w:pPr>
      <w:r>
        <w:t>Convention de nommage proposée</w:t>
      </w:r>
    </w:p>
    <w:p>
      <w:r>
        <w:rPr>
          <w:b w:val="0"/>
        </w:rPr>
        <w:t>AAAA-MM-JJ_Type_Objet_v01_STATUT.ext. Exemple fictif : 2026-10-19_Facture_F-102_v01_RECUE.pdf. Le renvoi est conservé comme transmission liée; il ne reçoit pas artificiellement un nouveau numéro de facture.</w:t>
      </w:r>
    </w:p>
    <w:tbl>
      <w:tblPr>
        <w:tblW w:type="auto" w:w="0"/>
        <w:tblLook w:firstColumn="1" w:firstRow="1" w:lastColumn="0" w:lastRow="0" w:noHBand="0" w:noVBand="1" w:val="04A0"/>
      </w:tblPr>
      <w:tblGrid>
        <w:gridCol w:w="10166"/>
      </w:tblGrid>
      <w:tr>
        <w:trPr>
          <w:cantSplit/>
        </w:trPr>
        <w:tc>
          <w:tcPr>
            <w:tcW w:type="dxa" w:w="10166"/>
            <w:shd w:fill="EDF2F5"/>
            <w:tcMar>
              <w:top w:w="85" w:type="dxa"/>
              <w:left w:w="85" w:type="dxa"/>
              <w:bottom w:w="85" w:type="dxa"/>
              <w:right w:w="85" w:type="dxa"/>
            </w:tcMar>
          </w:tcPr>
          <w:p>
            <w:pPr>
              <w:spacing w:after="60"/>
            </w:pPr>
            <w:r>
              <w:rPr>
                <w:b/>
                <w:sz w:val="21"/>
              </w:rPr>
              <w:t>Organisation ≠ certification de sécurité</w:t>
              <w:br/>
            </w:r>
            <w:r>
              <w:rPr>
                <w:sz w:val="20"/>
              </w:rPr>
              <w:t>Un classement ne sécurise pas à lui seul un dossier. Les outils, accès, transferts, sauvegardes et conditions de conservation doivent être définis avec l’organisation avant réception de données confidentielles.</w:t>
            </w:r>
          </w:p>
        </w:tc>
      </w:tr>
    </w:tbl>
    <w:p>
      <w:pPr>
        <w:spacing w:after="0"/>
      </w:pPr>
    </w:p>
    <w:p>
      <w:r>
        <w:br w:type="page"/>
      </w:r>
    </w:p>
    <w:p>
      <w:pPr>
        <w:spacing w:after="180"/>
      </w:pPr>
      <w:r>
        <w:rPr>
          <w:b/>
          <w:color w:val="496679"/>
          <w:sz w:val="17"/>
        </w:rPr>
        <w:t>02 · REGISTRE ET RESPONSABILITÉS</w:t>
      </w:r>
    </w:p>
    <w:p>
      <w:pPr>
        <w:pStyle w:val="Title"/>
      </w:pPr>
      <w:r>
        <w:t>Une pièce, un statut, un responsable.</w:t>
      </w:r>
    </w:p>
    <w:tbl>
      <w:tblPr>
        <w:tblW w:type="auto" w:w="0"/>
        <w:jc w:val="center"/>
        <w:tblLayout w:type="fixed"/>
        <w:tblLook w:firstColumn="1" w:firstRow="1" w:lastColumn="0" w:lastRow="0" w:noHBand="0" w:noVBand="1" w:val="04A0"/>
      </w:tblPr>
      <w:tblGrid>
        <w:gridCol w:w="3240"/>
        <w:gridCol w:w="6912"/>
      </w:tblGrid>
      <w:tr>
        <w:trPr>
          <w:tblHeader/>
        </w:trPr>
        <w:tc>
          <w:tcPr>
            <w:tcW w:type="dxa" w:w="3240"/>
            <w:shd w:fill="172D3D"/>
            <w:tcMar>
              <w:top w:w="85" w:type="dxa"/>
              <w:left w:w="85" w:type="dxa"/>
              <w:bottom w:w="85" w:type="dxa"/>
              <w:right w:w="85" w:type="dxa"/>
            </w:tcMar>
          </w:tcPr>
          <w:p>
            <w:r>
              <w:rPr>
                <w:b/>
                <w:color w:val="FFFFFF"/>
                <w:sz w:val="18"/>
              </w:rPr>
              <w:t>Champ du registre</w:t>
            </w:r>
          </w:p>
        </w:tc>
        <w:tc>
          <w:tcPr>
            <w:tcW w:type="dxa" w:w="6912"/>
            <w:shd w:fill="172D3D"/>
            <w:tcMar>
              <w:top w:w="85" w:type="dxa"/>
              <w:left w:w="85" w:type="dxa"/>
              <w:bottom w:w="85" w:type="dxa"/>
              <w:right w:w="85" w:type="dxa"/>
            </w:tcMar>
          </w:tcPr>
          <w:p>
            <w:r>
              <w:rPr>
                <w:b/>
                <w:color w:val="FFFFFF"/>
                <w:sz w:val="18"/>
              </w:rPr>
              <w:t>Usage</w:t>
            </w:r>
          </w:p>
        </w:tc>
      </w:tr>
      <w:tr>
        <w:trPr>
          <w:cantSplit/>
        </w:trPr>
        <w:tc>
          <w:tcPr>
            <w:tcW w:type="dxa" w:w="3240"/>
            <w:vAlign w:val="center"/>
            <w:tcMar>
              <w:top w:w="85" w:type="dxa"/>
              <w:left w:w="85" w:type="dxa"/>
              <w:bottom w:w="85" w:type="dxa"/>
              <w:right w:w="85" w:type="dxa"/>
            </w:tcMar>
            <w:shd w:fill="EDF2F5"/>
          </w:tcPr>
          <w:p>
            <w:pPr>
              <w:spacing w:after="40" w:before="20" w:line="252" w:lineRule="auto"/>
            </w:pPr>
            <w:r>
              <w:rPr>
                <w:sz w:val="18"/>
              </w:rPr>
              <w:t>Identifiant et pièce</w:t>
            </w:r>
          </w:p>
        </w:tc>
        <w:tc>
          <w:tcPr>
            <w:tcW w:type="dxa" w:w="6912"/>
            <w:vAlign w:val="center"/>
            <w:tcMar>
              <w:top w:w="85" w:type="dxa"/>
              <w:left w:w="85" w:type="dxa"/>
              <w:bottom w:w="85" w:type="dxa"/>
              <w:right w:w="85" w:type="dxa"/>
            </w:tcMar>
            <w:shd w:fill="EDF2F5"/>
          </w:tcPr>
          <w:p>
            <w:pPr>
              <w:spacing w:after="40" w:before="20" w:line="252" w:lineRule="auto"/>
            </w:pPr>
            <w:r>
              <w:rPr>
                <w:sz w:val="18"/>
              </w:rPr>
              <w:t>Un identifiant stable pour la pièce ou la transmission</w:t>
            </w:r>
          </w:p>
        </w:tc>
      </w:tr>
      <w:tr>
        <w:trPr>
          <w:cantSplit/>
        </w:trPr>
        <w:tc>
          <w:tcPr>
            <w:tcW w:type="dxa" w:w="3240"/>
            <w:vAlign w:val="center"/>
            <w:tcMar>
              <w:top w:w="85" w:type="dxa"/>
              <w:left w:w="85" w:type="dxa"/>
              <w:bottom w:w="85" w:type="dxa"/>
              <w:right w:w="85" w:type="dxa"/>
            </w:tcMar>
          </w:tcPr>
          <w:p>
            <w:pPr>
              <w:spacing w:after="40" w:before="20" w:line="252" w:lineRule="auto"/>
            </w:pPr>
            <w:r>
              <w:rPr>
                <w:sz w:val="18"/>
              </w:rPr>
              <w:t>Origine et date</w:t>
            </w:r>
          </w:p>
        </w:tc>
        <w:tc>
          <w:tcPr>
            <w:tcW w:type="dxa" w:w="6912"/>
            <w:vAlign w:val="center"/>
            <w:tcMar>
              <w:top w:w="85" w:type="dxa"/>
              <w:left w:w="85" w:type="dxa"/>
              <w:bottom w:w="85" w:type="dxa"/>
              <w:right w:w="85" w:type="dxa"/>
            </w:tcMar>
          </w:tcPr>
          <w:p>
            <w:pPr>
              <w:spacing w:after="40" w:before="20" w:line="252" w:lineRule="auto"/>
            </w:pPr>
            <w:r>
              <w:rPr>
                <w:sz w:val="18"/>
              </w:rPr>
              <w:t>Qui l’a fournie et quand; référence au document source</w:t>
            </w:r>
          </w:p>
        </w:tc>
      </w:tr>
      <w:tr>
        <w:trPr>
          <w:cantSplit/>
        </w:trPr>
        <w:tc>
          <w:tcPr>
            <w:tcW w:type="dxa" w:w="3240"/>
            <w:vAlign w:val="center"/>
            <w:tcMar>
              <w:top w:w="85" w:type="dxa"/>
              <w:left w:w="85" w:type="dxa"/>
              <w:bottom w:w="85" w:type="dxa"/>
              <w:right w:w="85" w:type="dxa"/>
            </w:tcMar>
            <w:shd w:fill="EDF2F5"/>
          </w:tcPr>
          <w:p>
            <w:pPr>
              <w:spacing w:after="40" w:before="20" w:line="252" w:lineRule="auto"/>
            </w:pPr>
            <w:r>
              <w:rPr>
                <w:sz w:val="18"/>
              </w:rPr>
              <w:t>Version et lien</w:t>
            </w:r>
          </w:p>
        </w:tc>
        <w:tc>
          <w:tcPr>
            <w:tcW w:type="dxa" w:w="6912"/>
            <w:vAlign w:val="center"/>
            <w:tcMar>
              <w:top w:w="85" w:type="dxa"/>
              <w:left w:w="85" w:type="dxa"/>
              <w:bottom w:w="85" w:type="dxa"/>
              <w:right w:w="85" w:type="dxa"/>
            </w:tcMar>
            <w:shd w:fill="EDF2F5"/>
          </w:tcPr>
          <w:p>
            <w:pPr>
              <w:spacing w:after="40" w:before="20" w:line="252" w:lineRule="auto"/>
            </w:pPr>
            <w:r>
              <w:rPr>
                <w:sz w:val="18"/>
              </w:rPr>
              <w:t>Où la retrouver; ne pas remplacer silencieusement un original</w:t>
            </w:r>
          </w:p>
        </w:tc>
      </w:tr>
      <w:tr>
        <w:trPr>
          <w:cantSplit/>
        </w:trPr>
        <w:tc>
          <w:tcPr>
            <w:tcW w:type="dxa" w:w="3240"/>
            <w:vAlign w:val="center"/>
            <w:tcMar>
              <w:top w:w="85" w:type="dxa"/>
              <w:left w:w="85" w:type="dxa"/>
              <w:bottom w:w="85" w:type="dxa"/>
              <w:right w:w="85" w:type="dxa"/>
            </w:tcMar>
          </w:tcPr>
          <w:p>
            <w:pPr>
              <w:spacing w:after="40" w:before="20" w:line="252" w:lineRule="auto"/>
            </w:pPr>
            <w:r>
              <w:rPr>
                <w:sz w:val="18"/>
              </w:rPr>
              <w:t>Statut documentaire</w:t>
            </w:r>
          </w:p>
        </w:tc>
        <w:tc>
          <w:tcPr>
            <w:tcW w:type="dxa" w:w="6912"/>
            <w:vAlign w:val="center"/>
            <w:tcMar>
              <w:top w:w="85" w:type="dxa"/>
              <w:left w:w="85" w:type="dxa"/>
              <w:bottom w:w="85" w:type="dxa"/>
              <w:right w:w="85" w:type="dxa"/>
            </w:tcMar>
          </w:tcPr>
          <w:p>
            <w:pPr>
              <w:spacing w:after="40" w:before="20" w:line="252" w:lineRule="auto"/>
            </w:pPr>
            <w:r>
              <w:rPr>
                <w:sz w:val="18"/>
              </w:rPr>
              <w:t>À obtenir / reçu / à vérifier / validé / archivé</w:t>
            </w:r>
          </w:p>
        </w:tc>
      </w:tr>
      <w:tr>
        <w:trPr>
          <w:cantSplit/>
        </w:trPr>
        <w:tc>
          <w:tcPr>
            <w:tcW w:type="dxa" w:w="3240"/>
            <w:vAlign w:val="center"/>
            <w:tcMar>
              <w:top w:w="85" w:type="dxa"/>
              <w:left w:w="85" w:type="dxa"/>
              <w:bottom w:w="85" w:type="dxa"/>
              <w:right w:w="85" w:type="dxa"/>
            </w:tcMar>
            <w:shd w:fill="EDF2F5"/>
          </w:tcPr>
          <w:p>
            <w:pPr>
              <w:spacing w:after="40" w:before="20" w:line="252" w:lineRule="auto"/>
            </w:pPr>
            <w:r>
              <w:rPr>
                <w:sz w:val="18"/>
              </w:rPr>
              <w:t>Responsable et validateur</w:t>
            </w:r>
          </w:p>
        </w:tc>
        <w:tc>
          <w:tcPr>
            <w:tcW w:type="dxa" w:w="6912"/>
            <w:vAlign w:val="center"/>
            <w:tcMar>
              <w:top w:w="85" w:type="dxa"/>
              <w:left w:w="85" w:type="dxa"/>
              <w:bottom w:w="85" w:type="dxa"/>
              <w:right w:w="85" w:type="dxa"/>
            </w:tcMar>
            <w:shd w:fill="EDF2F5"/>
          </w:tcPr>
          <w:p>
            <w:pPr>
              <w:spacing w:after="40" w:before="20" w:line="252" w:lineRule="auto"/>
            </w:pPr>
            <w:r>
              <w:rPr>
                <w:sz w:val="18"/>
              </w:rPr>
              <w:t>Qui suit la pièce; qui peut la valider</w:t>
            </w:r>
          </w:p>
        </w:tc>
      </w:tr>
      <w:tr>
        <w:trPr>
          <w:cantSplit/>
        </w:trPr>
        <w:tc>
          <w:tcPr>
            <w:tcW w:type="dxa" w:w="3240"/>
            <w:vAlign w:val="center"/>
            <w:tcMar>
              <w:top w:w="85" w:type="dxa"/>
              <w:left w:w="85" w:type="dxa"/>
              <w:bottom w:w="85" w:type="dxa"/>
              <w:right w:w="85" w:type="dxa"/>
            </w:tcMar>
          </w:tcPr>
          <w:p>
            <w:pPr>
              <w:spacing w:after="40" w:before="20" w:line="252" w:lineRule="auto"/>
            </w:pPr>
            <w:r>
              <w:rPr>
                <w:sz w:val="18"/>
              </w:rPr>
              <w:t>Décision ou action liée</w:t>
            </w:r>
          </w:p>
        </w:tc>
        <w:tc>
          <w:tcPr>
            <w:tcW w:type="dxa" w:w="6912"/>
            <w:vAlign w:val="center"/>
            <w:tcMar>
              <w:top w:w="85" w:type="dxa"/>
              <w:left w:w="85" w:type="dxa"/>
              <w:bottom w:w="85" w:type="dxa"/>
              <w:right w:w="85" w:type="dxa"/>
            </w:tcMar>
          </w:tcPr>
          <w:p>
            <w:pPr>
              <w:spacing w:after="40" w:before="20" w:line="252" w:lineRule="auto"/>
            </w:pPr>
            <w:r>
              <w:rPr>
                <w:sz w:val="18"/>
              </w:rPr>
              <w:t>Ce que la pièce permet de préparer ou de vérifier</w:t>
            </w:r>
          </w:p>
        </w:tc>
      </w:tr>
      <w:tr>
        <w:trPr>
          <w:cantSplit/>
        </w:trPr>
        <w:tc>
          <w:tcPr>
            <w:tcW w:type="dxa" w:w="3240"/>
            <w:vAlign w:val="center"/>
            <w:tcMar>
              <w:top w:w="85" w:type="dxa"/>
              <w:left w:w="85" w:type="dxa"/>
              <w:bottom w:w="85" w:type="dxa"/>
              <w:right w:w="85" w:type="dxa"/>
            </w:tcMar>
            <w:shd w:fill="EDF2F5"/>
          </w:tcPr>
          <w:p>
            <w:pPr>
              <w:spacing w:after="40" w:before="20" w:line="252" w:lineRule="auto"/>
            </w:pPr>
            <w:r>
              <w:rPr>
                <w:sz w:val="18"/>
              </w:rPr>
              <w:t>Accès et fin de mandat</w:t>
            </w:r>
          </w:p>
        </w:tc>
        <w:tc>
          <w:tcPr>
            <w:tcW w:type="dxa" w:w="6912"/>
            <w:vAlign w:val="center"/>
            <w:tcMar>
              <w:top w:w="85" w:type="dxa"/>
              <w:left w:w="85" w:type="dxa"/>
              <w:bottom w:w="85" w:type="dxa"/>
              <w:right w:w="85" w:type="dxa"/>
            </w:tcMar>
            <w:shd w:fill="EDF2F5"/>
          </w:tcPr>
          <w:p>
            <w:pPr>
              <w:spacing w:after="40" w:before="20" w:line="252" w:lineRule="auto"/>
            </w:pPr>
            <w:r>
              <w:rPr>
                <w:sz w:val="18"/>
              </w:rPr>
              <w:t>Personnes autorisées et traitement convenu</w:t>
            </w:r>
          </w:p>
        </w:tc>
      </w:tr>
    </w:tbl>
    <w:p>
      <w:pPr>
        <w:spacing w:after="0"/>
      </w:pPr>
    </w:p>
    <w:p>
      <w:pPr>
        <w:pStyle w:val="Heading2"/>
      </w:pPr>
      <w:r>
        <w:t>Contrôles à appliquer</w:t>
      </w:r>
    </w:p>
    <w:p>
      <w:r>
        <w:rPr>
          <w:b w:val="0"/>
        </w:rPr>
        <w:t>À la réception : identifier la pièce et rechercher un doublon. Avant analyse : vérifier la version et relever les manques. Avant remise : rapprocher les chiffres et conserver les réserves. À la clôture : documenter les validations obtenues et les points encore ouverts.</w:t>
      </w:r>
    </w:p>
    <w:p>
      <w:pPr>
        <w:pStyle w:val="Heading2"/>
      </w:pPr>
      <w:r>
        <w:t>Cas d’application du scénario de projet</w:t>
      </w:r>
    </w:p>
    <w:p>
      <w:r>
        <w:rPr>
          <w:b w:val="0"/>
        </w:rPr>
        <w:t>F-102 apparaît dans C2 puis dans un renvoi C3. Le registre relie ces deux transmissions au même identifiant de facture. Seule la facture unique entre dans le total de 102 000 $. Le changement C4 reste séparé des engagements signés tant qu’aucune décision n’est obtenue.</w:t>
      </w:r>
    </w:p>
    <w:p>
      <w:pPr>
        <w:pStyle w:val="Heading2"/>
      </w:pPr>
      <w:r>
        <w:t>Cas d’application du scénario de financement</w:t>
      </w:r>
    </w:p>
    <w:p>
      <w:r>
        <w:rPr>
          <w:b w:val="0"/>
        </w:rPr>
        <w:t>Une ligne « fonds propres : 54 000 $ » dans un budget n’est pas une preuve de disponibilité. Le registre distingue le montant envisagé, la pièce attendue et sa validation. Une date inscrite au calendrier n’établit pas l’acceptation du dossier par un bailleur.</w:t>
      </w:r>
    </w:p>
    <w:p>
      <w:r>
        <w:br w:type="page"/>
      </w:r>
    </w:p>
    <w:p>
      <w:pPr>
        <w:spacing w:after="180"/>
      </w:pPr>
      <w:r>
        <w:rPr>
          <w:b/>
          <w:color w:val="496679"/>
          <w:sz w:val="17"/>
        </w:rPr>
        <w:t>03 · TRANSMISSION ET AUTONOMIE</w:t>
      </w:r>
    </w:p>
    <w:p>
      <w:pPr>
        <w:pStyle w:val="Title"/>
      </w:pPr>
      <w:r>
        <w:t>Un dispositif maintenable après la remise.</w:t>
      </w:r>
    </w:p>
    <w:p>
      <w:pPr>
        <w:pStyle w:val="Heading2"/>
      </w:pPr>
      <w:r>
        <w:t>Répartition proposée</w:t>
      </w:r>
    </w:p>
    <w:tbl>
      <w:tblPr>
        <w:tblW w:type="auto" w:w="0"/>
        <w:jc w:val="center"/>
        <w:tblLayout w:type="fixed"/>
        <w:tblLook w:firstColumn="1" w:firstRow="1" w:lastColumn="0" w:lastRow="0" w:noHBand="0" w:noVBand="1" w:val="04A0"/>
      </w:tblPr>
      <w:tblGrid>
        <w:gridCol w:w="2952"/>
        <w:gridCol w:w="7200"/>
      </w:tblGrid>
      <w:tr>
        <w:trPr>
          <w:tblHeader/>
        </w:trPr>
        <w:tc>
          <w:tcPr>
            <w:tcW w:type="dxa" w:w="2952"/>
            <w:shd w:fill="172D3D"/>
            <w:tcMar>
              <w:top w:w="85" w:type="dxa"/>
              <w:left w:w="85" w:type="dxa"/>
              <w:bottom w:w="85" w:type="dxa"/>
              <w:right w:w="85" w:type="dxa"/>
            </w:tcMar>
          </w:tcPr>
          <w:p>
            <w:r>
              <w:rPr>
                <w:b/>
                <w:color w:val="FFFFFF"/>
                <w:sz w:val="18"/>
              </w:rPr>
              <w:t>Rôle</w:t>
            </w:r>
          </w:p>
        </w:tc>
        <w:tc>
          <w:tcPr>
            <w:tcW w:type="dxa" w:w="7200"/>
            <w:shd w:fill="172D3D"/>
            <w:tcMar>
              <w:top w:w="85" w:type="dxa"/>
              <w:left w:w="85" w:type="dxa"/>
              <w:bottom w:w="85" w:type="dxa"/>
              <w:right w:w="85" w:type="dxa"/>
            </w:tcMar>
          </w:tcPr>
          <w:p>
            <w:r>
              <w:rPr>
                <w:b/>
                <w:color w:val="FFFFFF"/>
                <w:sz w:val="18"/>
              </w:rPr>
              <w:t>Responsabilité à convenir</w:t>
            </w:r>
          </w:p>
        </w:tc>
      </w:tr>
      <w:tr>
        <w:trPr>
          <w:cantSplit/>
        </w:trPr>
        <w:tc>
          <w:tcPr>
            <w:tcW w:type="dxa" w:w="2952"/>
            <w:vAlign w:val="center"/>
            <w:tcMar>
              <w:top w:w="85" w:type="dxa"/>
              <w:left w:w="85" w:type="dxa"/>
              <w:bottom w:w="85" w:type="dxa"/>
              <w:right w:w="85" w:type="dxa"/>
            </w:tcMar>
            <w:shd w:fill="EDF2F5"/>
          </w:tcPr>
          <w:p>
            <w:pPr>
              <w:spacing w:after="40" w:before="20" w:line="252" w:lineRule="auto"/>
            </w:pPr>
            <w:r>
              <w:rPr>
                <w:sz w:val="18"/>
              </w:rPr>
              <w:t>Responsable client</w:t>
            </w:r>
          </w:p>
        </w:tc>
        <w:tc>
          <w:tcPr>
            <w:tcW w:type="dxa" w:w="7200"/>
            <w:vAlign w:val="center"/>
            <w:tcMar>
              <w:top w:w="85" w:type="dxa"/>
              <w:left w:w="85" w:type="dxa"/>
              <w:bottom w:w="85" w:type="dxa"/>
              <w:right w:w="85" w:type="dxa"/>
            </w:tcMar>
            <w:shd w:fill="EDF2F5"/>
          </w:tcPr>
          <w:p>
            <w:pPr>
              <w:spacing w:after="40" w:before="20" w:line="252" w:lineRule="auto"/>
            </w:pPr>
            <w:r>
              <w:rPr>
                <w:sz w:val="18"/>
              </w:rPr>
              <w:t>Définit les accès et confirme les faits internes</w:t>
            </w:r>
          </w:p>
        </w:tc>
      </w:tr>
      <w:tr>
        <w:trPr>
          <w:cantSplit/>
        </w:trPr>
        <w:tc>
          <w:tcPr>
            <w:tcW w:type="dxa" w:w="2952"/>
            <w:vAlign w:val="center"/>
            <w:tcMar>
              <w:top w:w="85" w:type="dxa"/>
              <w:left w:w="85" w:type="dxa"/>
              <w:bottom w:w="85" w:type="dxa"/>
              <w:right w:w="85" w:type="dxa"/>
            </w:tcMar>
          </w:tcPr>
          <w:p>
            <w:pPr>
              <w:spacing w:after="40" w:before="20" w:line="252" w:lineRule="auto"/>
            </w:pPr>
            <w:r>
              <w:rPr>
                <w:sz w:val="18"/>
              </w:rPr>
              <w:t>Coordination</w:t>
            </w:r>
          </w:p>
        </w:tc>
        <w:tc>
          <w:tcPr>
            <w:tcW w:type="dxa" w:w="7200"/>
            <w:vAlign w:val="center"/>
            <w:tcMar>
              <w:top w:w="85" w:type="dxa"/>
              <w:left w:w="85" w:type="dxa"/>
              <w:bottom w:w="85" w:type="dxa"/>
              <w:right w:w="85" w:type="dxa"/>
            </w:tcMar>
          </w:tcPr>
          <w:p>
            <w:pPr>
              <w:spacing w:after="40" w:before="20" w:line="252" w:lineRule="auto"/>
            </w:pPr>
            <w:r>
              <w:rPr>
                <w:sz w:val="18"/>
              </w:rPr>
              <w:t>Organise les pièces, suit les actions et signale les manques</w:t>
            </w:r>
          </w:p>
        </w:tc>
      </w:tr>
      <w:tr>
        <w:trPr>
          <w:cantSplit/>
        </w:trPr>
        <w:tc>
          <w:tcPr>
            <w:tcW w:type="dxa" w:w="2952"/>
            <w:vAlign w:val="center"/>
            <w:tcMar>
              <w:top w:w="85" w:type="dxa"/>
              <w:left w:w="85" w:type="dxa"/>
              <w:bottom w:w="85" w:type="dxa"/>
              <w:right w:w="85" w:type="dxa"/>
            </w:tcMar>
            <w:shd w:fill="EDF2F5"/>
          </w:tcPr>
          <w:p>
            <w:pPr>
              <w:spacing w:after="40" w:before="20" w:line="252" w:lineRule="auto"/>
            </w:pPr>
            <w:r>
              <w:rPr>
                <w:sz w:val="18"/>
              </w:rPr>
              <w:t>Validateur habilité</w:t>
            </w:r>
          </w:p>
        </w:tc>
        <w:tc>
          <w:tcPr>
            <w:tcW w:type="dxa" w:w="7200"/>
            <w:vAlign w:val="center"/>
            <w:tcMar>
              <w:top w:w="85" w:type="dxa"/>
              <w:left w:w="85" w:type="dxa"/>
              <w:bottom w:w="85" w:type="dxa"/>
              <w:right w:w="85" w:type="dxa"/>
            </w:tcMar>
            <w:shd w:fill="EDF2F5"/>
          </w:tcPr>
          <w:p>
            <w:pPr>
              <w:spacing w:after="40" w:before="20" w:line="252" w:lineRule="auto"/>
            </w:pPr>
            <w:r>
              <w:rPr>
                <w:sz w:val="18"/>
              </w:rPr>
              <w:t>Approuve selon son champ de responsabilité</w:t>
            </w:r>
          </w:p>
        </w:tc>
      </w:tr>
      <w:tr>
        <w:trPr>
          <w:cantSplit/>
        </w:trPr>
        <w:tc>
          <w:tcPr>
            <w:tcW w:type="dxa" w:w="2952"/>
            <w:vAlign w:val="center"/>
            <w:tcMar>
              <w:top w:w="85" w:type="dxa"/>
              <w:left w:w="85" w:type="dxa"/>
              <w:bottom w:w="85" w:type="dxa"/>
              <w:right w:w="85" w:type="dxa"/>
            </w:tcMar>
          </w:tcPr>
          <w:p>
            <w:pPr>
              <w:spacing w:after="40" w:before="20" w:line="252" w:lineRule="auto"/>
            </w:pPr>
            <w:r>
              <w:rPr>
                <w:sz w:val="18"/>
              </w:rPr>
              <w:t>Utilisateur désigné</w:t>
            </w:r>
          </w:p>
        </w:tc>
        <w:tc>
          <w:tcPr>
            <w:tcW w:type="dxa" w:w="7200"/>
            <w:vAlign w:val="center"/>
            <w:tcMar>
              <w:top w:w="85" w:type="dxa"/>
              <w:left w:w="85" w:type="dxa"/>
              <w:bottom w:w="85" w:type="dxa"/>
              <w:right w:w="85" w:type="dxa"/>
            </w:tcMar>
          </w:tcPr>
          <w:p>
            <w:pPr>
              <w:spacing w:after="40" w:before="20" w:line="252" w:lineRule="auto"/>
            </w:pPr>
            <w:r>
              <w:rPr>
                <w:sz w:val="18"/>
              </w:rPr>
              <w:t>Maintient le registre après la remise</w:t>
            </w:r>
          </w:p>
        </w:tc>
      </w:tr>
    </w:tbl>
    <w:p>
      <w:pPr>
        <w:spacing w:after="0"/>
      </w:pPr>
    </w:p>
    <w:p>
      <w:pPr>
        <w:pStyle w:val="Heading2"/>
      </w:pPr>
      <w:r>
        <w:t>Vérification de prise en main</w:t>
      </w:r>
    </w:p>
    <w:p>
      <w:r>
        <w:rPr>
          <w:b w:val="0"/>
        </w:rPr>
        <w:t>Demander à l’utilisateur désigné de retrouver une pièce, reconnaître sa version, identifier une validation manquante, mettre à jour une action et distinguer prévision et engagement. Consigner les ajustements nécessaires avant clôture.</w:t>
      </w:r>
    </w:p>
    <w:p>
      <w:pPr>
        <w:pStyle w:val="Heading2"/>
      </w:pPr>
      <w:r>
        <w:t>Données et réutilisation</w:t>
      </w:r>
    </w:p>
    <w:p>
      <w:r>
        <w:rPr>
          <w:b w:val="0"/>
        </w:rPr>
        <w:t>Limiter la collecte à ce qui est nécessaire au mandat. Définir les outils et les traitements autorisés, y compris l’utilisation éventuelle de l’IA. Réutiliser les structures génériques seulement lorsque les droits le permettent; ne pas réutiliser les données confidentielles d’un client pour un autre.</w:t>
      </w:r>
    </w:p>
    <w:p>
      <w:pPr>
        <w:pStyle w:val="Heading2"/>
      </w:pPr>
      <w:r>
        <w:t>Livrables possibles du mandat</w:t>
      </w:r>
    </w:p>
    <w:p>
      <w:r>
        <w:rPr>
          <w:b w:val="0"/>
        </w:rPr>
        <w:t>Une arborescence adaptée, un registre modifiable, une procédure courte, des responsabilités écrites et une séance de prise en main convenue. Le registre documentaire du classeur de suivi de projet fournit un exemple rempli avec des données fictives.</w:t>
      </w:r>
    </w:p>
    <w:tbl>
      <w:tblPr>
        <w:tblW w:type="auto" w:w="0"/>
        <w:tblLook w:firstColumn="1" w:firstRow="1" w:lastColumn="0" w:lastRow="0" w:noHBand="0" w:noVBand="1" w:val="04A0"/>
      </w:tblPr>
      <w:tblGrid>
        <w:gridCol w:w="10166"/>
      </w:tblGrid>
      <w:tr>
        <w:trPr>
          <w:cantSplit/>
        </w:trPr>
        <w:tc>
          <w:tcPr>
            <w:tcW w:type="dxa" w:w="10166"/>
            <w:shd w:fill="EDF2F5"/>
            <w:tcMar>
              <w:top w:w="85" w:type="dxa"/>
              <w:left w:w="85" w:type="dxa"/>
              <w:bottom w:w="85" w:type="dxa"/>
              <w:right w:w="85" w:type="dxa"/>
            </w:tcMar>
          </w:tcPr>
          <w:p>
            <w:pPr>
              <w:spacing w:after="60"/>
            </w:pPr>
            <w:r>
              <w:rPr>
                <w:b/>
                <w:sz w:val="21"/>
              </w:rPr>
              <w:t>Provenance et limites</w:t>
              <w:br/>
            </w:r>
            <w:r>
              <w:rPr>
                <w:sz w:val="20"/>
              </w:rPr>
              <w:t>Modèle créé pour LECLERC le 2 novembre 2026 à partir du dossier fondateur et des contrôles des exemples COSMOLOGIX. Les sources historiques restent conservées. Aucune durée légale de conservation, habilitation, garantie de sécurité ou méthode imposée à un client n’est affirmée.</w:t>
            </w:r>
          </w:p>
        </w:tc>
      </w:tr>
    </w:tbl>
    <w:p>
      <w:pPr>
        <w:spacing w:after="0"/>
      </w:pPr>
    </w:p>
    <w:sectPr w:rsidR="00FC693F" w:rsidRPr="0006063C" w:rsidSect="00034616">
      <w:headerReference w:type="default" r:id="rId9"/>
      <w:footerReference w:type="default" r:id="rId10"/>
      <w:pgSz w:w="12240" w:h="15840"/>
      <w:pgMar w:top="1181" w:right="1037" w:bottom="1008" w:left="1037"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136" w:val="left"/>
        <w:tab w:pos="8136" w:val="left"/>
      </w:tabs>
      <w:spacing w:before="100"/>
    </w:pPr>
    <w:r>
      <w:rPr>
        <w:sz w:val="15"/>
      </w:rPr>
      <w:t>LSC-MODELE-01 · Démonstration fictive · 02.11.2026</w:t>
      <w:tab/>
      <w:t xml:space="preserve">Page </w:t>
    </w:r>
    <w:fldSimple w:instr="PAGE">
      <w:r>
        <w:rPr>
          <w:sz w:val="15"/>
        </w:rPr>
        <w:t>1</w:t>
      </w:r>
    </w:fldSimple>
    <w:r>
      <w:rPr>
        <w:sz w:val="15"/>
      </w:rPr>
      <w:t xml:space="preserve"> / </w:t>
    </w:r>
    <w:fldSimple w:instr="NUMPAGES">
      <w:r>
        <w:rPr>
          <w:sz w:val="15"/>
        </w:rPr>
        <w:t>3</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80"/>
      <w:pBdr>
        <w:bottom w:val="single" w:sz="6" w:color="CCD6DD"/>
      </w:pBdr>
    </w:pPr>
    <w:r>
      <w:rPr>
        <w:b/>
        <w:color w:val="172D3D"/>
        <w:sz w:val="30"/>
      </w:rPr>
      <w:t>LECLERC</w:t>
    </w:r>
    <w:r>
      <w:rPr>
        <w:color w:val="496679"/>
        <w:sz w:val="18"/>
      </w:rPr>
      <w:t xml:space="preserve">  SERVICES-CONSEILS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20"/>
    </w:pPr>
    <w:rPr>
      <w:rFonts w:ascii="Calibri" w:hAnsi="Calibri"/>
      <w:color w:val="172D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outlineLvl w:val="0"/>
    </w:pPr>
    <w:rPr>
      <w:rFonts w:asciiTheme="majorHAnsi" w:eastAsiaTheme="majorEastAsia" w:hAnsiTheme="majorHAnsi" w:cstheme="majorBidi" w:ascii="Calibri" w:hAnsi="Calibri"/>
      <w:b/>
      <w:bCs/>
      <w:color w:val="172D3D"/>
      <w:sz w:val="44"/>
      <w:szCs w:val="28"/>
    </w:rPr>
  </w:style>
  <w:style w:type="paragraph" w:styleId="Heading2">
    <w:name w:val="heading 2"/>
    <w:basedOn w:val="Normal"/>
    <w:next w:val="Normal"/>
    <w:link w:val="Heading2Char"/>
    <w:uiPriority w:val="9"/>
    <w:unhideWhenUsed/>
    <w:qFormat/>
    <w:rsid w:val="00FC693F"/>
    <w:pPr>
      <w:keepNext/>
      <w:keepLines/>
      <w:spacing w:before="180" w:after="140"/>
      <w:outlineLvl w:val="1"/>
    </w:pPr>
    <w:rPr>
      <w:rFonts w:asciiTheme="majorHAnsi" w:eastAsiaTheme="majorEastAsia" w:hAnsiTheme="majorHAnsi" w:cstheme="majorBidi" w:ascii="Calibri" w:hAnsi="Calibri"/>
      <w:b/>
      <w:bCs/>
      <w:color w:val="496679"/>
      <w:sz w:val="26"/>
      <w:szCs w:val="26"/>
    </w:rPr>
  </w:style>
  <w:style w:type="paragraph" w:styleId="Heading3">
    <w:name w:val="heading 3"/>
    <w:basedOn w:val="Normal"/>
    <w:next w:val="Normal"/>
    <w:link w:val="Heading3Char"/>
    <w:uiPriority w:val="9"/>
    <w:unhideWhenUsed/>
    <w:qFormat/>
    <w:rsid w:val="00FC693F"/>
    <w:pPr>
      <w:keepNext/>
      <w:keepLines/>
      <w:spacing w:before="180" w:after="140"/>
      <w:outlineLvl w:val="2"/>
    </w:pPr>
    <w:rPr>
      <w:rFonts w:asciiTheme="majorHAnsi" w:eastAsiaTheme="majorEastAsia" w:hAnsiTheme="majorHAnsi" w:cstheme="majorBidi" w:ascii="Calibri" w:hAnsi="Calibri"/>
      <w:b/>
      <w:bCs/>
      <w:color w:val="172D3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0"/>
      <w:contextualSpacing/>
    </w:pPr>
    <w:rPr>
      <w:rFonts w:asciiTheme="majorHAnsi" w:eastAsiaTheme="majorEastAsia" w:hAnsiTheme="majorHAnsi" w:cstheme="majorBidi" w:ascii="Calibri" w:hAnsi="Calibri"/>
      <w:b w:val="0"/>
      <w:color w:val="172D3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Organiser un dossier et assurer la traçabilité de ses pièces</dc:title>
  <dc:subject>Démonstration fictive — adaptation documentée depuis les archives COSMOLOGIX</dc:subject>
  <dc:creator>LECLERC SERVICES-CONSEILS</dc:creator>
  <cp:keywords>démonstration fictive, préproduction, LECLERC</cp:keywords>
  <dc:description>generated by python-docx</dc:description>
  <cp:lastModifiedBy/>
  <cp:revision>1</cp:revision>
  <dcterms:created xsi:type="dcterms:W3CDTF">2013-12-23T23:15:00Z</dcterms:created>
  <dcterms:modified xsi:type="dcterms:W3CDTF">2013-12-23T23:15:00Z</dcterms:modified>
  <cp:category/>
</cp:coreProperties>
</file>